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В рамках реализации предлагаемой меры предусматривается формирование целевого федерального фонда, аккумулирующего поступления от установленного сбора. Средства фонда подлежат распределению между субъектами Российской Федерации пропорционально нагрузке на социальную и коммунальную инфраструктуру, связанной с привлечением иностранной рабочей силы.</w:t>
      </w:r>
    </w:p>
    <w:p>
      <w:pPr>
        <w:pStyle w:val="style0"/>
        <w:rPr/>
      </w:pPr>
    </w:p>
    <w:p>
      <w:pPr>
        <w:pStyle w:val="style0"/>
        <w:rPr/>
      </w:pPr>
      <w:r>
        <w:t>Ориентировочный объём поступлений составляет 150–300 млрд рублей в год, исходя из средней заработной платы иностранных работников 50–70 тыс. рублей в месяц, применения ставки 15%, а также официальных данных ФНС о численности легально занятых иностранных граждан за 2024 год.</w:t>
      </w:r>
    </w:p>
    <w:p>
      <w:pPr>
        <w:pStyle w:val="style0"/>
        <w:rPr/>
      </w:pPr>
    </w:p>
    <w:p>
      <w:pPr>
        <w:pStyle w:val="style0"/>
        <w:rPr/>
      </w:pPr>
      <w:r>
        <w:t>Использование средств фонда предусматривает их целевое направление на развитие социальной инфраструктуры, в том числе:</w:t>
      </w:r>
    </w:p>
    <w:p>
      <w:pPr>
        <w:pStyle w:val="style0"/>
        <w:rPr/>
      </w:pPr>
    </w:p>
    <w:p>
      <w:pPr>
        <w:pStyle w:val="style0"/>
        <w:rPr/>
      </w:pPr>
      <w:r>
        <w:t>строительство и расширение сети детских дошкольных учреждений;</w:t>
      </w:r>
    </w:p>
    <w:p>
      <w:pPr>
        <w:pStyle w:val="style0"/>
        <w:rPr/>
      </w:pPr>
    </w:p>
    <w:p>
      <w:pPr>
        <w:pStyle w:val="style0"/>
        <w:rPr/>
      </w:pPr>
      <w:r>
        <w:t>строительство и модернизацию медицинских организаций первичного звена в регионах с повышенной нагрузкой.</w:t>
      </w:r>
    </w:p>
    <w:p>
      <w:pPr>
        <w:pStyle w:val="style0"/>
        <w:rPr/>
      </w:pPr>
    </w:p>
    <w:p>
      <w:pPr>
        <w:pStyle w:val="style0"/>
        <w:rPr/>
      </w:pPr>
      <w:r>
        <w:t>В среднесрочной перспективе (3–5 лет) реализация указанного механизма позволит снизить нагрузку на региональные бюджеты на 40–50%, а также создать условия для перераспределения высвобождаемых средств на иные социальные обязательства.</w:t>
      </w:r>
    </w:p>
    <w:p>
      <w:pPr>
        <w:pStyle w:val="style0"/>
        <w:rPr/>
      </w:pPr>
    </w:p>
    <w:p>
      <w:pPr>
        <w:pStyle w:val="style0"/>
        <w:rPr/>
      </w:pPr>
      <w:r>
        <w:t>Дополнительно мера формирует стимулы для легализации занятости иностранных работников, что может выразиться в увеличении оформления разрешительных документов и патентов до 15%, а также в снижении доли теневой занятости на 10–15%.</w:t>
      </w:r>
    </w:p>
    <w:p>
      <w:pPr>
        <w:pStyle w:val="style0"/>
        <w:rPr/>
      </w:pPr>
    </w:p>
    <w:p>
      <w:pPr>
        <w:pStyle w:val="style0"/>
        <w:rPr/>
      </w:pPr>
      <w:r>
        <w:t>Контроль за реализацией решения предлагается осуществлять через ежеквартальную публичную отчётность ФНС о поступлении и использовании средств фонда.</w:t>
      </w:r>
    </w:p>
    <w:p>
      <w:pPr>
        <w:pStyle w:val="style0"/>
        <w:rPr/>
      </w:pPr>
      <w:r>
        <w:t>В случае превышения годового объёма поступлений 300 млрд рублей, избыточные средства подлежат использованию в соответствии с бюджетным законодательством Российской Федерации.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207</Words>
  <Characters>1496</Characters>
  <Application>WPS Office</Application>
  <Paragraphs>16</Paragraphs>
  <CharactersWithSpaces>1689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2025-12-24T06:08:49Z</dcterms:created>
  <dc:creator>A063</dc:creator>
  <lastModifiedBy>A063</lastModifiedBy>
  <dcterms:modified xsi:type="dcterms:W3CDTF">2025-12-24T06:10:04Z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76022823d41d4edb8bbbe982f20b064f</vt:lpwstr>
  </property>
</Properties>
</file>