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ru-RU"/>
        </w:rPr>
        <w:t>Проект федерального закона</w:t>
      </w:r>
    </w:p>
    <w:p>
      <w:pPr>
        <w:pStyle w:val="style0"/>
        <w:rPr/>
      </w:pPr>
      <w:r>
        <w:rPr>
          <w:lang w:val="ru-RU"/>
        </w:rPr>
        <w:t>«О карте гражданина Российской Федерации»</w:t>
      </w:r>
    </w:p>
    <w:p>
      <w:pPr>
        <w:pStyle w:val="style0"/>
        <w:rPr/>
      </w:pPr>
      <w:r>
        <w:rPr>
          <w:lang w:val="ru-RU"/>
        </w:rPr>
        <w:t>Статья 1. Предмет регулирования и цели настоящего Федерального закона</w:t>
      </w:r>
    </w:p>
    <w:p>
      <w:pPr>
        <w:pStyle w:val="style0"/>
        <w:rPr/>
      </w:pPr>
      <w:r>
        <w:rPr>
          <w:lang w:val="ru-RU"/>
        </w:rPr>
        <w:t>Настоящий Федеральный закон регулирует отношения, возникающие в связи с предоставлением гражданам Российской Федерации комплекса мер социальной, налоговой и экономической поддержки в рамках программы «Карта гражданина Российской Федерации».</w:t>
      </w:r>
    </w:p>
    <w:p>
      <w:pPr>
        <w:pStyle w:val="style0"/>
        <w:rPr/>
      </w:pPr>
      <w:r>
        <w:rPr>
          <w:lang w:val="ru-RU"/>
        </w:rPr>
        <w:t>Целями настоящего Федерального закона являются:</w:t>
      </w:r>
    </w:p>
    <w:p>
      <w:pPr>
        <w:pStyle w:val="style0"/>
        <w:rPr/>
      </w:pPr>
      <w:r>
        <w:rPr>
          <w:lang w:val="ru-RU"/>
        </w:rPr>
        <w:t>повышение уровня жизни граждан Российской Федерации;</w:t>
      </w:r>
    </w:p>
    <w:p>
      <w:pPr>
        <w:pStyle w:val="style0"/>
        <w:rPr/>
      </w:pPr>
      <w:r>
        <w:rPr>
          <w:lang w:val="ru-RU"/>
        </w:rPr>
        <w:t>стимулирование рождаемости и поддержка семьи;</w:t>
      </w:r>
    </w:p>
    <w:p>
      <w:pPr>
        <w:pStyle w:val="style0"/>
        <w:rPr/>
      </w:pPr>
      <w:r>
        <w:rPr>
          <w:lang w:val="ru-RU"/>
        </w:rPr>
        <w:t>развитие трудовой занятости и экономической активности;</w:t>
      </w:r>
    </w:p>
    <w:p>
      <w:pPr>
        <w:pStyle w:val="style0"/>
        <w:rPr/>
      </w:pPr>
      <w:r>
        <w:rPr>
          <w:lang w:val="ru-RU"/>
        </w:rPr>
        <w:t>создание условий для долгосрочного проживания граждан на территории Российской Федерации.</w:t>
      </w:r>
    </w:p>
    <w:p>
      <w:pPr>
        <w:pStyle w:val="style0"/>
        <w:rPr/>
      </w:pPr>
      <w:r>
        <w:rPr>
          <w:lang w:val="ru-RU"/>
        </w:rPr>
        <w:t>Статья 2. Основные понятия</w:t>
      </w:r>
    </w:p>
    <w:p>
      <w:pPr>
        <w:pStyle w:val="style0"/>
        <w:rPr/>
      </w:pPr>
      <w:r>
        <w:rPr>
          <w:lang w:val="ru-RU"/>
        </w:rPr>
        <w:t>Для целей настоящего Федерального закона используются следующие основные понятия:</w:t>
      </w:r>
    </w:p>
    <w:p>
      <w:pPr>
        <w:pStyle w:val="style0"/>
        <w:rPr/>
      </w:pPr>
      <w:r>
        <w:rPr>
          <w:lang w:val="ru-RU"/>
        </w:rPr>
        <w:t>«карта гражданина» — совокупность прав и мер государственной поддержки, предоставляемых гражданину Российской Федерации в установленном порядке;</w:t>
      </w:r>
    </w:p>
    <w:p>
      <w:pPr>
        <w:pStyle w:val="style0"/>
        <w:rPr/>
      </w:pPr>
      <w:r>
        <w:rPr>
          <w:lang w:val="ru-RU"/>
        </w:rPr>
        <w:t>«участник программы» — гражданин Российской Федерации, включённый в реестр получателей мер поддержки;</w:t>
      </w:r>
    </w:p>
    <w:p>
      <w:pPr>
        <w:pStyle w:val="style0"/>
        <w:rPr/>
      </w:pPr>
      <w:r>
        <w:rPr>
          <w:lang w:val="ru-RU"/>
        </w:rPr>
        <w:t>«меры поддержки» — налоговые, финансовые, имущественные и иные меры, предусмотренные настоящим Федеральным законом.</w:t>
      </w:r>
    </w:p>
    <w:p>
      <w:pPr>
        <w:pStyle w:val="style0"/>
        <w:rPr/>
      </w:pPr>
      <w:r>
        <w:rPr>
          <w:lang w:val="ru-RU"/>
        </w:rPr>
        <w:t>Статья 3. Категории получателей и условия участия</w:t>
      </w:r>
    </w:p>
    <w:p>
      <w:pPr>
        <w:pStyle w:val="style0"/>
        <w:rPr/>
      </w:pPr>
      <w:r>
        <w:rPr>
          <w:lang w:val="ru-RU"/>
        </w:rPr>
        <w:t>Участниками программы являются граждане Российской Федерации, соответствующие критериям, установленным Правительством Российской Федерации.</w:t>
      </w:r>
    </w:p>
    <w:p>
      <w:pPr>
        <w:pStyle w:val="style0"/>
        <w:rPr/>
      </w:pPr>
      <w:r>
        <w:rPr>
          <w:lang w:val="ru-RU"/>
        </w:rPr>
        <w:t>Критерии участия могут включать:</w:t>
      </w:r>
    </w:p>
    <w:p>
      <w:pPr>
        <w:pStyle w:val="style0"/>
        <w:rPr/>
      </w:pPr>
      <w:r>
        <w:rPr>
          <w:lang w:val="ru-RU"/>
        </w:rPr>
        <w:t>постоянное проживание на территории Российской Федерации;</w:t>
      </w:r>
    </w:p>
    <w:p>
      <w:pPr>
        <w:pStyle w:val="style0"/>
        <w:rPr/>
      </w:pPr>
      <w:r>
        <w:rPr>
          <w:lang w:val="ru-RU"/>
        </w:rPr>
        <w:t>наличие семьи и (или) рождение ребёнка;</w:t>
      </w:r>
    </w:p>
    <w:p>
      <w:pPr>
        <w:pStyle w:val="style0"/>
        <w:rPr/>
      </w:pPr>
      <w:r>
        <w:rPr>
          <w:lang w:val="ru-RU"/>
        </w:rPr>
        <w:t>иные основания, установленные нормативными правовыми актами Правительства Российской Федерации.</w:t>
      </w:r>
    </w:p>
    <w:p>
      <w:pPr>
        <w:pStyle w:val="style0"/>
        <w:rPr/>
      </w:pPr>
      <w:r>
        <w:rPr>
          <w:lang w:val="ru-RU"/>
        </w:rPr>
        <w:t>Статья 4. Меры государственной поддержки</w:t>
      </w:r>
    </w:p>
    <w:p>
      <w:pPr>
        <w:pStyle w:val="style0"/>
        <w:rPr/>
      </w:pPr>
      <w:r>
        <w:rPr>
          <w:lang w:val="ru-RU"/>
        </w:rPr>
        <w:t>В рамках программы участникам предоставляются меры государственной поддержки.</w:t>
      </w:r>
    </w:p>
    <w:p>
      <w:pPr>
        <w:pStyle w:val="style0"/>
        <w:rPr/>
      </w:pPr>
      <w:r>
        <w:rPr>
          <w:lang w:val="ru-RU"/>
        </w:rPr>
        <w:t>Налоговые меры реализуются в соответствии с законодательством Российской Федерации о налогах и сборах, в том числе путём внесения изменений в Налоговый кодекс Российской Федерации, предусматривающих возможность установления налоговой ставки по налогу на доходы физических лиц в размере до 0 процентов на срок до 5 лет для отдельных категорий участников программы.</w:t>
      </w:r>
    </w:p>
    <w:p>
      <w:pPr>
        <w:pStyle w:val="style0"/>
        <w:rPr/>
      </w:pPr>
      <w:r>
        <w:rPr>
          <w:lang w:val="ru-RU"/>
        </w:rPr>
        <w:t>Финансовые меры поддержки могут включать:</w:t>
      </w:r>
    </w:p>
    <w:p>
      <w:pPr>
        <w:pStyle w:val="style0"/>
        <w:rPr/>
      </w:pPr>
      <w:r>
        <w:rPr>
          <w:lang w:val="ru-RU"/>
        </w:rPr>
        <w:t>единовременные выплаты при создании семьи в размере до 2 млн рублей;</w:t>
      </w:r>
    </w:p>
    <w:p>
      <w:pPr>
        <w:pStyle w:val="style0"/>
        <w:rPr/>
      </w:pPr>
      <w:r>
        <w:rPr>
          <w:lang w:val="ru-RU"/>
        </w:rPr>
        <w:t>ежемесячные выплаты на ребёнка в размере до 50 тыс. рублей до достижения им совершеннолетия.</w:t>
      </w:r>
    </w:p>
    <w:p>
      <w:pPr>
        <w:pStyle w:val="style0"/>
        <w:rPr/>
      </w:pPr>
      <w:r>
        <w:rPr>
          <w:lang w:val="ru-RU"/>
        </w:rPr>
        <w:t>Меры жилищной поддержки реализуются с учётом положений Земельный кодекс Российской Федерации и включают:</w:t>
      </w:r>
    </w:p>
    <w:p>
      <w:pPr>
        <w:pStyle w:val="style0"/>
        <w:rPr/>
      </w:pPr>
      <w:r>
        <w:rPr>
          <w:lang w:val="ru-RU"/>
        </w:rPr>
        <w:t>предоставление земельных участков площадью до 15 соток;</w:t>
      </w:r>
    </w:p>
    <w:p>
      <w:pPr>
        <w:pStyle w:val="style0"/>
        <w:rPr/>
      </w:pPr>
      <w:r>
        <w:rPr>
          <w:lang w:val="ru-RU"/>
        </w:rPr>
        <w:t>предоставление целевых средств на строительство жилого дома в размере до 5 млн рублей.</w:t>
      </w:r>
    </w:p>
    <w:p>
      <w:pPr>
        <w:pStyle w:val="style0"/>
        <w:rPr/>
      </w:pPr>
      <w:r>
        <w:rPr>
          <w:lang w:val="ru-RU"/>
        </w:rPr>
        <w:t>Меры содействия занятости реализуются в соответствии с Трудовой кодекс Российской Федерации и могут предусматривать:</w:t>
      </w:r>
    </w:p>
    <w:p>
      <w:pPr>
        <w:pStyle w:val="style0"/>
        <w:rPr/>
      </w:pPr>
      <w:r>
        <w:rPr>
          <w:lang w:val="ru-RU"/>
        </w:rPr>
        <w:t>участие граждан в программах занятости;</w:t>
      </w:r>
    </w:p>
    <w:p>
      <w:pPr>
        <w:pStyle w:val="style0"/>
        <w:rPr/>
      </w:pPr>
      <w:r>
        <w:rPr>
          <w:lang w:val="ru-RU"/>
        </w:rPr>
        <w:t>установление ориентировочных показателей участия работников — участников программы — в организациях с государственным участием.</w:t>
      </w:r>
    </w:p>
    <w:p>
      <w:pPr>
        <w:pStyle w:val="style0"/>
        <w:rPr/>
      </w:pPr>
      <w:r>
        <w:rPr>
          <w:lang w:val="ru-RU"/>
        </w:rPr>
        <w:t>Дополнительные меры поддержки могут включать предоставление специальных статусов и цифровых инструментов доступа к государственным услугам сроком до 10 лет с возможностью продления.</w:t>
      </w:r>
    </w:p>
    <w:p>
      <w:pPr>
        <w:pStyle w:val="style0"/>
        <w:rPr/>
      </w:pPr>
      <w:r>
        <w:rPr>
          <w:lang w:val="ru-RU"/>
        </w:rPr>
        <w:t>Статья 5. Условия и порядок предоставления мер поддержки</w:t>
      </w:r>
    </w:p>
    <w:p>
      <w:pPr>
        <w:pStyle w:val="style0"/>
        <w:rPr/>
      </w:pPr>
      <w:r>
        <w:rPr>
          <w:lang w:val="ru-RU"/>
        </w:rPr>
        <w:t>Предоставление мер поддержки осуществляется в порядке, установленном Правительством Российской Федерации.</w:t>
      </w:r>
    </w:p>
    <w:p>
      <w:pPr>
        <w:pStyle w:val="style0"/>
        <w:rPr/>
      </w:pPr>
      <w:r>
        <w:rPr>
          <w:lang w:val="ru-RU"/>
        </w:rPr>
        <w:t>Основанием для предоставления мер поддержки является заявление гражданина и подтверждение соответствия установленным критериям.</w:t>
      </w:r>
    </w:p>
    <w:p>
      <w:pPr>
        <w:pStyle w:val="style0"/>
        <w:rPr/>
      </w:pPr>
      <w:r>
        <w:rPr>
          <w:lang w:val="ru-RU"/>
        </w:rPr>
        <w:t>Меры поддержки предоставляются на срок до 5 лет, если иное не предусмотрено отдельными мерами.</w:t>
      </w:r>
    </w:p>
    <w:p>
      <w:pPr>
        <w:pStyle w:val="style0"/>
        <w:rPr/>
      </w:pPr>
      <w:r>
        <w:rPr>
          <w:lang w:val="ru-RU"/>
        </w:rPr>
        <w:t>Статья 6. Пилотная реализация программы</w:t>
      </w:r>
    </w:p>
    <w:p>
      <w:pPr>
        <w:pStyle w:val="style0"/>
        <w:rPr/>
      </w:pPr>
      <w:r>
        <w:rPr>
          <w:lang w:val="ru-RU"/>
        </w:rPr>
        <w:t>В целях апробации механизмов реализации программы Правительство Российской Федерации вправе определить перечень субъектов Российской Федерации для проведения пилотных проектов.</w:t>
      </w:r>
    </w:p>
    <w:p>
      <w:pPr>
        <w:pStyle w:val="style0"/>
        <w:rPr/>
      </w:pPr>
      <w:r>
        <w:rPr>
          <w:lang w:val="ru-RU"/>
        </w:rPr>
        <w:t>Срок пилотной реализации составляет до 3 лет.</w:t>
      </w:r>
    </w:p>
    <w:p>
      <w:pPr>
        <w:pStyle w:val="style0"/>
        <w:rPr/>
      </w:pPr>
      <w:r>
        <w:rPr>
          <w:lang w:val="ru-RU"/>
        </w:rPr>
        <w:t>По результатам пилотной реализации Правительство Российской Федерации представляет в Государственную Думу отчёт об эффективности программы.</w:t>
      </w:r>
    </w:p>
    <w:p>
      <w:pPr>
        <w:pStyle w:val="style0"/>
        <w:rPr/>
      </w:pPr>
      <w:r>
        <w:rPr>
          <w:lang w:val="ru-RU"/>
        </w:rPr>
        <w:t>Статья 7. Финансовое обеспечение программы</w:t>
      </w:r>
    </w:p>
    <w:p>
      <w:pPr>
        <w:pStyle w:val="style0"/>
        <w:rPr/>
      </w:pPr>
      <w:r>
        <w:rPr>
          <w:lang w:val="ru-RU"/>
        </w:rPr>
        <w:t>Финансовое обеспечение реализации настоящего Федерального закона осуществляется в соответствии с бюджетным законодательством Российской Федерации, включая положения Бюджетный кодекс Российской Федерации.</w:t>
      </w:r>
    </w:p>
    <w:p>
      <w:pPr>
        <w:pStyle w:val="style0"/>
        <w:rPr/>
      </w:pPr>
      <w:r>
        <w:rPr>
          <w:lang w:val="ru-RU"/>
        </w:rPr>
        <w:t>Финансирование осуществляется за счёт средств федерального бюджета, включая средства Фонда национального благосостояния, в пределах бюджетных ассигнований, утверждённых федеральным законом о федеральном бюджете.</w:t>
      </w:r>
    </w:p>
    <w:p>
      <w:pPr>
        <w:pStyle w:val="style0"/>
        <w:rPr/>
      </w:pPr>
      <w:r>
        <w:rPr>
          <w:lang w:val="ru-RU"/>
        </w:rPr>
        <w:t>Общий объём финансирования программы может составлять до 1,5 трлн рублей в год с учётом параметров бюджетного планирования.</w:t>
      </w:r>
    </w:p>
    <w:p>
      <w:pPr>
        <w:pStyle w:val="style0"/>
        <w:rPr/>
      </w:pPr>
      <w:r>
        <w:rPr>
          <w:lang w:val="ru-RU"/>
        </w:rPr>
        <w:t>Статья 8. Обеспечение доступа к информационным ресурсам</w:t>
      </w:r>
    </w:p>
    <w:p>
      <w:pPr>
        <w:pStyle w:val="style0"/>
        <w:rPr/>
      </w:pPr>
      <w:r>
        <w:rPr>
          <w:lang w:val="ru-RU"/>
        </w:rPr>
        <w:t>В целях реализации прав граждан на получение и распространение информации создаются условия для доступа к информационным ресурсам в сети «Интернет».</w:t>
      </w:r>
    </w:p>
    <w:p>
      <w:pPr>
        <w:pStyle w:val="style0"/>
        <w:rPr/>
      </w:pPr>
      <w:r>
        <w:rPr>
          <w:lang w:val="ru-RU"/>
        </w:rPr>
        <w:t>Ограничение доступа к информационным ресурсам допускается исключительно на основании федерального закона и в порядке, установленном законодательством Российской Федерации.</w:t>
      </w:r>
    </w:p>
    <w:p>
      <w:pPr>
        <w:pStyle w:val="style0"/>
        <w:rPr/>
      </w:pPr>
      <w:r>
        <w:rPr>
          <w:lang w:val="ru-RU"/>
        </w:rPr>
        <w:t>Статья 9. Заключительные положения</w:t>
      </w:r>
    </w:p>
    <w:p>
      <w:pPr>
        <w:pStyle w:val="style0"/>
        <w:rPr/>
      </w:pPr>
      <w:r>
        <w:rPr>
          <w:lang w:val="ru-RU"/>
        </w:rPr>
        <w:t>Настоящий Федеральный закон вступает в силу с 1 января 2027 года.</w:t>
      </w:r>
    </w:p>
    <w:p>
      <w:pPr>
        <w:pStyle w:val="style0"/>
        <w:rPr/>
      </w:pPr>
      <w:r>
        <w:rPr>
          <w:lang w:val="ru-RU"/>
        </w:rPr>
        <w:t>Правительству Российской Федерации в шестимесячный срок со дня официального опубликования настоящего Федерального закона:</w:t>
      </w:r>
    </w:p>
    <w:p>
      <w:pPr>
        <w:pStyle w:val="style0"/>
        <w:rPr/>
      </w:pPr>
      <w:r>
        <w:rPr>
          <w:lang w:val="ru-RU"/>
        </w:rPr>
        <w:t>обеспечить принятие нормативных правовых актов, необходимых для его реализации;</w:t>
      </w:r>
    </w:p>
    <w:p>
      <w:pPr>
        <w:pStyle w:val="style0"/>
        <w:rPr/>
      </w:pPr>
      <w:r>
        <w:rPr>
          <w:lang w:val="ru-RU"/>
        </w:rPr>
        <w:t>подготовить и внести в Государственную Думу проекты федеральных законов о внесении изменений в законодательство Российской Федерации, включая Налоговый кодекс Российской Федерации и Трудовой кодекс Российской Федерации.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613</Words>
  <Characters>4618</Characters>
  <Application>WPS Office</Application>
  <Paragraphs>53</Paragraphs>
  <CharactersWithSpaces>5183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2026-04-07T07:16:14Z</dcterms:created>
  <dc:creator>V2505A</dc:creator>
  <lastModifiedBy>V2505A</lastModifiedBy>
  <dcterms:modified xsi:type="dcterms:W3CDTF">2026-04-07T07:16:14Z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70f9ad5b98984739a28cc6fbe8e524c5</vt:lpwstr>
  </property>
</Properties>
</file>