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468" w:rsidRDefault="00A54468" w:rsidP="00A54468">
      <w:r>
        <w:t>1. Необходимо законодательно включить в перечень целей государственной денежно-кредитной политики и деятельности Банка России создание условий для экономического роста, увеличения инвестиций и занятости.</w:t>
      </w:r>
    </w:p>
    <w:p w:rsidR="00A54468" w:rsidRDefault="00A54468" w:rsidP="00A54468"/>
    <w:p w:rsidR="00A54468" w:rsidRDefault="00A54468" w:rsidP="00A54468">
      <w:r>
        <w:t>2. Необходим переход от регулирования уровня ставок «в целом» к работе с кривой ставок, предусматривающей повышение ставок по краткосрочным инструментам, определяющим доступность кредита для финансирования текущих расходов, и понижение ставок по долгосрочным инструментам, определяющим доступность кредита для инвестиций. Ставка рефинансирования по таким инструментам не должна превышать 3% годовых в рублях исходя из средней нормы рентабельности в инвестиционном комплексе за вычетом банковской маржи, а сроки предоставления кредитов должны соответствовать типичной длительности научно-производственного цикла в промышленности и строительстве (до семи лет).</w:t>
      </w:r>
    </w:p>
    <w:p w:rsidR="00A54468" w:rsidRDefault="00A54468" w:rsidP="00A54468"/>
    <w:p w:rsidR="00A54468" w:rsidRDefault="00A54468" w:rsidP="00A54468">
      <w:r>
        <w:t>3. Рефинансирование оборотного капитала должно вестись под 5% годовых в рублях с учетом средней рентабельности обрабатывающей промышленности, а также предусматривать понижение ставки для сельского хозяйства, строительства и других отраслей с низкой рентабельностью и высокой сезонной волатильностью.</w:t>
      </w:r>
    </w:p>
    <w:p w:rsidR="00A54468" w:rsidRDefault="00A54468" w:rsidP="00A54468"/>
    <w:p w:rsidR="00A54468" w:rsidRDefault="00A54468" w:rsidP="00A54468">
      <w:r>
        <w:t xml:space="preserve">4. </w:t>
      </w:r>
      <w:proofErr w:type="gramStart"/>
      <w:r>
        <w:t>Доступ к системе рефинансирования должен быть открыт для всех коммерческих банков на универсальных условиях, включающих в себя контроль за целевым использованием кредитов, а также для банков развития на особых условиях, соответствующих профилю и целям их деятельности (в том числе с учетом сроков окупаемости инвестиций в инфраструктуру до 20–30 лет — под 1–2%).</w:t>
      </w:r>
      <w:proofErr w:type="gramEnd"/>
    </w:p>
    <w:p w:rsidR="00A54468" w:rsidRDefault="00A54468" w:rsidP="00A54468"/>
    <w:p w:rsidR="00A54468" w:rsidRDefault="00A54468" w:rsidP="00A54468">
      <w:r>
        <w:t>5. Для расширения каналов кредитных потоков необходимо кардинальное увеличение ломбардного списка Центрального банка, включение в него векселей и облигаций платежеспособных предприятий, работающих в приоритетных направлениях, институтов развития, гарантий федерального правительства, субъектов федерации и муниципалитетов. При этом во избежание стимулирования вывоза капитала и валютных спекуляций прием иностранных ценных бумаг и иностранных активов российских банков в качестве обеспечения ломбардных и иных кредитов ЦБ следует прекратить.</w:t>
      </w:r>
    </w:p>
    <w:p w:rsidR="00A54468" w:rsidRDefault="00A54468" w:rsidP="00A54468"/>
    <w:p w:rsidR="00A54468" w:rsidRDefault="00A54468" w:rsidP="00A54468">
      <w:r>
        <w:t>6. Одновременно следует максимально упростить выпуск облигаций предприятий производственного сектора и инфраструктуры с переходом на использование рейтингов российских агентств. Целесообразно также включить в ломбардный список облигации, обеспеченные кредитными требованиями проектного финансирования.</w:t>
      </w:r>
    </w:p>
    <w:p w:rsidR="00A54468" w:rsidRDefault="00A54468" w:rsidP="00A54468"/>
    <w:p w:rsidR="00A54468" w:rsidRDefault="00A54468" w:rsidP="00A54468">
      <w:r>
        <w:lastRenderedPageBreak/>
        <w:t>7. Важное направление расширения кредита реальному сектору — увеличение возможностей рефинансирования банков под залог нерыночных активов, повышение разнообразия таких активов, снижение нормы их дисконтирования.</w:t>
      </w:r>
    </w:p>
    <w:p w:rsidR="00A54468" w:rsidRDefault="00A54468" w:rsidP="00A54468"/>
    <w:p w:rsidR="00A54468" w:rsidRDefault="00A54468" w:rsidP="00A54468">
      <w:r>
        <w:t>8. Требуется существенное увеличение ресурсного потенциала институтов развития за счет их фондирования Центральным банком под инвестиционные проекты, гарантируемые правительством исходя из необходимости опережающего роста нового технологического уклада. Размещать такие кредиты институты развития должны на принципах целевого кредитования конкретных проектов, предусматривающих выделение денег исключительно под установленные ими расходы без перечисления денег на счет заемщика.</w:t>
      </w:r>
    </w:p>
    <w:p w:rsidR="00A54468" w:rsidRDefault="00A54468" w:rsidP="00A54468"/>
    <w:p w:rsidR="00A54468" w:rsidRDefault="00A54468" w:rsidP="00A54468">
      <w:r>
        <w:t xml:space="preserve">9. </w:t>
      </w:r>
      <w:proofErr w:type="gramStart"/>
      <w:r>
        <w:t>При формировании денежной политики Банку России следует проводить оценку макроэкономических последствий эмиссии рублей по различным каналам: для рефинансирования коммерческих банков под обязательства производственных предприятий, под облигации государства и институтов развития, под замещение инвалютных кредитов, под приобретение иностранной валюты в валютный резерв, под внешний спрос на рубли для кредитования внешнеторгового оборота, капитальных операций и формирования рублевых резервов иностранных государств и банков</w:t>
      </w:r>
      <w:proofErr w:type="gramEnd"/>
      <w:r>
        <w:t>. И делать это исходя из понимания реальных зависимостей и нелинейных обратных связей взаимодействия финансовой и производственных сфер экономики, а не из поверхностных представлений о линейной зависимости между ростом денежной массы и инфляцией.</w:t>
      </w:r>
    </w:p>
    <w:p w:rsidR="00A54468" w:rsidRDefault="00A54468" w:rsidP="00A54468"/>
    <w:p w:rsidR="00A54468" w:rsidRDefault="00A54468" w:rsidP="00A54468">
      <w:r>
        <w:t xml:space="preserve">10. Должны быть приняты меры для увеличения потенциала и безопасности российской денежной системы и упрочения ее положения в мировой экономике, для придания рублю функций международной резервной валюты и формирования московского финансового центра. Прежде </w:t>
      </w:r>
      <w:proofErr w:type="gramStart"/>
      <w:r>
        <w:t>всего</w:t>
      </w:r>
      <w:proofErr w:type="gramEnd"/>
      <w:r>
        <w:t xml:space="preserve"> в условиях санкций необходимо ограничить заимствования контролируемых государством корпораций за рубежом, постепенно заместить валютные займы контролируемых государством компаний рублевыми кредитами государственных коммерческих банков за счет их целевого рефинансирования со стороны Центрального банка под соответствующий процент. Аналогичные возможности следует предоставить частным компаниям при условии возвращения ими вывезенных за рубеж капиталов в страну.</w:t>
      </w:r>
    </w:p>
    <w:p w:rsidR="00A54468" w:rsidRDefault="00A54468" w:rsidP="00A54468"/>
    <w:p w:rsidR="00A54468" w:rsidRDefault="00A54468" w:rsidP="00A54468">
      <w:r>
        <w:t>11. Для нейтрализации негативных эффектов санкций на финансовый рынок следует создать перестраховочное общество на основе Российского агентства по страхованию экспортных кредитов и инвестиций (ЭКСАР) с использованием гарантий Внешэкономбанка вместо прямых инвестиций для наполнения уставного капитала общества, предоставить ему доминирующее положение на рынке перестрахования рисков российских резидентов.</w:t>
      </w:r>
    </w:p>
    <w:p w:rsidR="00A54468" w:rsidRDefault="00A54468" w:rsidP="00A54468"/>
    <w:p w:rsidR="00A54468" w:rsidRDefault="00A54468" w:rsidP="00A54468">
      <w:r>
        <w:t xml:space="preserve">12. Нужно решительно стимулировать переход во взаимных расчетах в СНГ на рубли, в расчетах с ЕС — на рубли и евро, с Китаем — на рубли и юани. Рекомендовать хозяйствующим субъектам </w:t>
      </w:r>
      <w:r>
        <w:lastRenderedPageBreak/>
        <w:t>переходить на расчеты в рублях за экспортируемые и импортируемые товары и услуги. При этом предусматривать выделение связанных рублевых кредитов государствам — импортерам российской продукции для поддержания товарооборота, использовать в этих целях кредитно-валютные свопы.</w:t>
      </w:r>
    </w:p>
    <w:p w:rsidR="00A54468" w:rsidRDefault="00A54468" w:rsidP="00A54468"/>
    <w:p w:rsidR="00A54468" w:rsidRDefault="00A54468" w:rsidP="00A54468">
      <w:r>
        <w:t>13. Кардинально расширить систему обслуживания расчетов в национальных валютах между предприятиями государств СНГ можно посредством Межгосударственного банка СНГ, расчетов с иными государствами — используя контролируемые Россией международные финансовые организации (МБЭС, МИБ и др.).</w:t>
      </w:r>
    </w:p>
    <w:p w:rsidR="00A54468" w:rsidRDefault="00A54468" w:rsidP="00A54468"/>
    <w:p w:rsidR="00A54468" w:rsidRDefault="00A54468" w:rsidP="00A54468">
      <w:r>
        <w:t xml:space="preserve">14. Чтобы обезопасить себя от экономических санкций, необходимо создать платежно-расчетную систему в национальных валютах государств — членов </w:t>
      </w:r>
      <w:proofErr w:type="spellStart"/>
      <w:r>
        <w:t>ЕврАзЭС</w:t>
      </w:r>
      <w:proofErr w:type="spellEnd"/>
      <w:r>
        <w:t xml:space="preserve">, а также разработать и внедрить собственную независимую систему международных расчетов и обмена информацией между банками. Эта система могла бы устранить критическую зависимость от подконтрольных странам НАТО систем SWIFT, </w:t>
      </w:r>
      <w:proofErr w:type="spellStart"/>
      <w:r>
        <w:t>Visa</w:t>
      </w:r>
      <w:proofErr w:type="spellEnd"/>
      <w:r>
        <w:t xml:space="preserve">, </w:t>
      </w:r>
      <w:proofErr w:type="spellStart"/>
      <w:r>
        <w:t>MasterCard</w:t>
      </w:r>
      <w:proofErr w:type="spellEnd"/>
      <w:r>
        <w:t xml:space="preserve">. В нее целесообразно включить банки России и государств — членов Таможенного союза и СНГ, а также предложить участие банкам стран БРИКС, ШОС, </w:t>
      </w:r>
      <w:proofErr w:type="spellStart"/>
      <w:r>
        <w:t>Меркосур</w:t>
      </w:r>
      <w:proofErr w:type="spellEnd"/>
      <w:r>
        <w:t xml:space="preserve"> и других традиционных партнеров.</w:t>
      </w:r>
    </w:p>
    <w:p w:rsidR="00A54468" w:rsidRDefault="00A54468" w:rsidP="00A54468"/>
    <w:p w:rsidR="00A54468" w:rsidRDefault="00A54468" w:rsidP="00A54468">
      <w:r>
        <w:t>15. Пора, наконец, организовать биржевую торговлю нефтью, нефтепродуктами, лесом, минеральными удобрениями, металлами, другими сырьевыми товарами в рублях — в целях обеспечения рыночного ценообразования и предотвращения использования трансфертных цен для уклонения от налогообложения. Следует также обязать производителей биржевых товаров продавать через зарегистрированные правительством России биржи не менее половины своей продукции, в том числе поставляемой на экспорт.</w:t>
      </w:r>
    </w:p>
    <w:p w:rsidR="00A54468" w:rsidRDefault="00A54468" w:rsidP="00A54468"/>
    <w:p w:rsidR="00A54468" w:rsidRDefault="00A54468" w:rsidP="00A54468">
      <w:r>
        <w:t>16. Важным элементом политики устойчивого развития является обеспечение устойчивости обменного курса рубля. Для этого необходимо расширить арсенал инструментов регулирования спроса и предложения иностранной валюты, предусмотрев возможность взимания экспортных пошлин в иностранной валюте с ее аккумулированием на валютных счетах правительства в случае избыточного предложения валюты. Кроме того, необходимо использование правила обязательной полной или частичной продажи валютной выручки экспортеров на внутреннем рынке в случае ее недостаточного предложения.</w:t>
      </w:r>
    </w:p>
    <w:p w:rsidR="00A54468" w:rsidRDefault="00A54468" w:rsidP="00A54468"/>
    <w:p w:rsidR="00A54468" w:rsidRDefault="00A54468" w:rsidP="00A54468">
      <w:r>
        <w:t>17. Нужно возобновить установление заранее объявляемых границ колебаний курса рубля, поддерживаемых длительное время. При угрозе выхода за пределы этих границ нужно проводить единовременное изменение курса с установлением новых границ, чтобы избежать провоцирования лавинообразного бегства капитала и валютных спекуляций против рубля, а также обеспечить мгновенную стабилизацию его курса.</w:t>
      </w:r>
    </w:p>
    <w:p w:rsidR="00A54468" w:rsidRDefault="00A54468" w:rsidP="00A54468"/>
    <w:p w:rsidR="00A54468" w:rsidRDefault="00A54468" w:rsidP="00A54468">
      <w:r>
        <w:lastRenderedPageBreak/>
        <w:t xml:space="preserve">18. Чтобы предотвратить использование эмитируемых для рефинансирования производственной деятельности, внешней торговли и инвестиций денег на валютные спекуляции, необходимо обеспечить целевое расходование таких кредитов посредством соответствующих норм </w:t>
      </w:r>
      <w:proofErr w:type="spellStart"/>
      <w:r>
        <w:t>пруденциального</w:t>
      </w:r>
      <w:proofErr w:type="spellEnd"/>
      <w:r>
        <w:t xml:space="preserve"> надзора. Следует ввести ограничения на изменение валютной позиции коммерческих банков, прибегающих к рефинансированию ЦБ.</w:t>
      </w:r>
    </w:p>
    <w:p w:rsidR="00A54468" w:rsidRDefault="00A54468" w:rsidP="00A54468"/>
    <w:p w:rsidR="001067B9" w:rsidRDefault="00A54468" w:rsidP="00A54468">
      <w:r>
        <w:t xml:space="preserve">19. Разумеется, рефинансирование должно вестись в рублях, чтобы стимулировать </w:t>
      </w:r>
      <w:proofErr w:type="spellStart"/>
      <w:r>
        <w:t>дедолларизацию</w:t>
      </w:r>
      <w:proofErr w:type="spellEnd"/>
      <w:r>
        <w:t xml:space="preserve"> денежно-кредитной системы. Государственные гарантии также должны ограничиваться рублевыми обязательствами.</w:t>
      </w:r>
      <w:bookmarkStart w:id="0" w:name="_GoBack"/>
      <w:bookmarkEnd w:id="0"/>
    </w:p>
    <w:sectPr w:rsidR="001067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468"/>
    <w:rsid w:val="00010915"/>
    <w:rsid w:val="000647E8"/>
    <w:rsid w:val="000B52C5"/>
    <w:rsid w:val="000B713C"/>
    <w:rsid w:val="000E4421"/>
    <w:rsid w:val="001067B9"/>
    <w:rsid w:val="00140CC3"/>
    <w:rsid w:val="00166B85"/>
    <w:rsid w:val="00172979"/>
    <w:rsid w:val="00176AE6"/>
    <w:rsid w:val="00195CAA"/>
    <w:rsid w:val="001F0169"/>
    <w:rsid w:val="002C4441"/>
    <w:rsid w:val="002D4172"/>
    <w:rsid w:val="002D659E"/>
    <w:rsid w:val="00306FA4"/>
    <w:rsid w:val="0031482D"/>
    <w:rsid w:val="003C59C9"/>
    <w:rsid w:val="00451567"/>
    <w:rsid w:val="00490DB5"/>
    <w:rsid w:val="004A1F19"/>
    <w:rsid w:val="004F64B3"/>
    <w:rsid w:val="00515678"/>
    <w:rsid w:val="00556954"/>
    <w:rsid w:val="00590152"/>
    <w:rsid w:val="005C530B"/>
    <w:rsid w:val="005F03AB"/>
    <w:rsid w:val="00611A85"/>
    <w:rsid w:val="006256E3"/>
    <w:rsid w:val="006778DB"/>
    <w:rsid w:val="00677A59"/>
    <w:rsid w:val="006E7261"/>
    <w:rsid w:val="006F5B8F"/>
    <w:rsid w:val="0075022D"/>
    <w:rsid w:val="00766CCC"/>
    <w:rsid w:val="00800653"/>
    <w:rsid w:val="008131F4"/>
    <w:rsid w:val="00846B07"/>
    <w:rsid w:val="00880604"/>
    <w:rsid w:val="008A7BF9"/>
    <w:rsid w:val="008B7C59"/>
    <w:rsid w:val="008C1D58"/>
    <w:rsid w:val="008D0CEF"/>
    <w:rsid w:val="008E6415"/>
    <w:rsid w:val="008F075A"/>
    <w:rsid w:val="0090012D"/>
    <w:rsid w:val="009074C4"/>
    <w:rsid w:val="00936342"/>
    <w:rsid w:val="009379D0"/>
    <w:rsid w:val="00985E4F"/>
    <w:rsid w:val="00987303"/>
    <w:rsid w:val="009D0E27"/>
    <w:rsid w:val="00A20017"/>
    <w:rsid w:val="00A26A93"/>
    <w:rsid w:val="00A40D55"/>
    <w:rsid w:val="00A474D8"/>
    <w:rsid w:val="00A54468"/>
    <w:rsid w:val="00A81B9D"/>
    <w:rsid w:val="00B10408"/>
    <w:rsid w:val="00B25B10"/>
    <w:rsid w:val="00B359DA"/>
    <w:rsid w:val="00B93C95"/>
    <w:rsid w:val="00BD084E"/>
    <w:rsid w:val="00C31D60"/>
    <w:rsid w:val="00C73C8E"/>
    <w:rsid w:val="00CD38EA"/>
    <w:rsid w:val="00CE21FA"/>
    <w:rsid w:val="00CF625B"/>
    <w:rsid w:val="00D054D4"/>
    <w:rsid w:val="00D23C58"/>
    <w:rsid w:val="00D32E8F"/>
    <w:rsid w:val="00DA0DAE"/>
    <w:rsid w:val="00DC41EA"/>
    <w:rsid w:val="00DC6CB8"/>
    <w:rsid w:val="00DD57F8"/>
    <w:rsid w:val="00E409AE"/>
    <w:rsid w:val="00E71553"/>
    <w:rsid w:val="00ED1727"/>
    <w:rsid w:val="00EE204C"/>
    <w:rsid w:val="00EE4947"/>
    <w:rsid w:val="00EF29AD"/>
    <w:rsid w:val="00F33E43"/>
    <w:rsid w:val="00F61AD5"/>
    <w:rsid w:val="00FA2910"/>
    <w:rsid w:val="00FA3D5F"/>
    <w:rsid w:val="00FD3EB6"/>
    <w:rsid w:val="00FE27D4"/>
    <w:rsid w:val="00FF3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1053</Words>
  <Characters>7260</Characters>
  <Application>Microsoft Office Word</Application>
  <DocSecurity>0</DocSecurity>
  <Lines>177</Lines>
  <Paragraphs>84</Paragraphs>
  <ScaleCrop>false</ScaleCrop>
  <Company>SPecialiST RePack</Company>
  <LinksUpToDate>false</LinksUpToDate>
  <CharactersWithSpaces>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Sergey</cp:lastModifiedBy>
  <cp:revision>1</cp:revision>
  <dcterms:created xsi:type="dcterms:W3CDTF">2015-01-15T09:30:00Z</dcterms:created>
  <dcterms:modified xsi:type="dcterms:W3CDTF">2015-01-15T09:31:00Z</dcterms:modified>
</cp:coreProperties>
</file>