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Приложение. Решение по внедрению KPI для госслужащих</w:t>
      </w:r>
    </w:p>
    <w:p>
      <w:pPr>
        <w:jc w:val="center"/>
      </w:pPr>
      <w:r>
        <w:t>К общественной инициативе: «Ввести систему ключевых показателей эффективности (KPI) для оценки деятельности государственных служащих всех уровней»</w:t>
      </w:r>
    </w:p>
    <w:p/>
    <w:p>
      <w:r>
        <w:rPr>
          <w:b/>
          <w:sz w:val="28"/>
        </w:rPr>
        <w:t>1. Цели и принципы</w:t>
      </w:r>
    </w:p>
    <w:p>
      <w:r>
        <w:t>Цель: закрепить на федеральном уровне прозрачную систему оценки деятельности государственных служащих на основе KPI и связать премиальную часть оплаты труда с достижением измеримых результатов.</w:t>
      </w:r>
    </w:p>
    <w:p>
      <w:r>
        <w:t>Принципы: законность, соразмерность, сопоставимость показателей, учёт региональной специфики, независимая экспертиза, публичность данных и регулярный аудит.</w:t>
      </w:r>
    </w:p>
    <w:p>
      <w:r>
        <w:rPr>
          <w:b/>
          <w:sz w:val="28"/>
        </w:rPr>
        <w:t>2. Термины и определения</w:t>
      </w:r>
    </w:p>
    <w:p>
      <w:r>
        <w:t>KPI — количественно измеримый показатель результата деятельности органа власти или госслужащего, имеющий источник данных, периодичность расчёта и целевое значение.</w:t>
      </w:r>
    </w:p>
    <w:p>
      <w:r>
        <w:t>Минимальный порог KPI — значение, ниже которого включаются меры дисциплинарной ответственности.</w:t>
      </w:r>
    </w:p>
    <w:p>
      <w:r>
        <w:t>Региональный коэффициент (РК) — коэффициент, корректирующий премирование с учётом социально-экономических условий региона.</w:t>
      </w:r>
    </w:p>
    <w:p>
      <w:r>
        <w:t>Независимая комиссия — коллегиальный орган с участием представителей научного сообщества, бизнеса, профсообщества и гражданского общества, уполномоченный утверждать и пересматривать KPI, методики и исключения по внешним факторам.</w:t>
      </w:r>
    </w:p>
    <w:p>
      <w:r>
        <w:rPr>
          <w:b/>
          <w:sz w:val="28"/>
        </w:rPr>
        <w:t>3. Порядок установления и пересмотра KPI</w:t>
      </w:r>
    </w:p>
    <w:p>
      <w:r>
        <w:t>3.1. KPI устанавливаются ежегодно по каждой должности и органу власти на основании перечня целевых показателей и методик расчёта, предложенных профильными ведомствами и утверждённых независимой комиссией.</w:t>
      </w:r>
    </w:p>
    <w:p>
      <w:r>
        <w:t>3.2. При существенных изменениях внешних условий (форс-мажор, изменения федерального законодательства, санкционные ограничения и т.п.) допускается внеплановый пересмотр KPI по мотивированному представлению.</w:t>
      </w:r>
    </w:p>
    <w:p>
      <w:r>
        <w:t>3.3. Для каждого KPI определяются: цель, вес (w), формула, источник и периодичность данных, допустимый интервал значений, правила нормирования, ответственные лица.</w:t>
      </w:r>
    </w:p>
    <w:p>
      <w:r>
        <w:rPr>
          <w:b/>
          <w:sz w:val="28"/>
        </w:rPr>
        <w:t>4. Формула премирования и финансирование</w:t>
      </w:r>
    </w:p>
    <w:p>
      <w:r>
        <w:t>4.1. Премия рассчитывается по формуле:</w:t>
      </w:r>
    </w:p>
    <w:p>
      <w:r>
        <w:t>Премия = Базовый оклад × 0,5 × (Σ(KPI_i × w_i)) × РК, где Σ(KPI_i × w_i) выражена в долях (0–1) или процентах (0–100%) в соответствии с методикой нормирования.</w:t>
      </w:r>
    </w:p>
    <w:p>
      <w:r>
        <w:t>4.2. Градации выплаты премии при суммарном выполнении KPI: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Выполнение KPI (Σ)</w:t>
            </w:r>
          </w:p>
        </w:tc>
        <w:tc>
          <w:tcPr>
            <w:tcW w:type="dxa" w:w="2880"/>
          </w:tcPr>
          <w:p>
            <w:r>
              <w:t>Размер премии от максимума</w:t>
            </w:r>
          </w:p>
        </w:tc>
        <w:tc>
          <w:tcPr>
            <w:tcW w:type="dxa" w:w="2880"/>
          </w:tcPr>
          <w:p>
            <w:r>
              <w:t>Примечание</w:t>
            </w:r>
          </w:p>
        </w:tc>
      </w:tr>
      <w:tr>
        <w:tc>
          <w:tcPr>
            <w:tcW w:type="dxa" w:w="2880"/>
          </w:tcPr>
          <w:p>
            <w:r>
              <w:t>0–49%</w:t>
            </w:r>
          </w:p>
        </w:tc>
        <w:tc>
          <w:tcPr>
            <w:tcW w:type="dxa" w:w="2880"/>
          </w:tcPr>
          <w:p>
            <w:r>
              <w:t>0%</w:t>
            </w:r>
          </w:p>
        </w:tc>
        <w:tc>
          <w:tcPr>
            <w:tcW w:type="dxa" w:w="2880"/>
          </w:tcPr>
          <w:p>
            <w:r>
              <w:t>Премия не выплачивается</w:t>
            </w:r>
          </w:p>
        </w:tc>
      </w:tr>
      <w:tr>
        <w:tc>
          <w:tcPr>
            <w:tcW w:type="dxa" w:w="2880"/>
          </w:tcPr>
          <w:p>
            <w:r>
              <w:t>50–89%</w:t>
            </w:r>
          </w:p>
        </w:tc>
        <w:tc>
          <w:tcPr>
            <w:tcW w:type="dxa" w:w="2880"/>
          </w:tcPr>
          <w:p>
            <w:r>
              <w:t>50%</w:t>
            </w:r>
          </w:p>
        </w:tc>
        <w:tc>
          <w:tcPr>
            <w:tcW w:type="dxa" w:w="2880"/>
          </w:tcPr>
          <w:p>
            <w:r>
              <w:t>Частичное выполнение</w:t>
            </w:r>
          </w:p>
        </w:tc>
      </w:tr>
      <w:tr>
        <w:tc>
          <w:tcPr>
            <w:tcW w:type="dxa" w:w="2880"/>
          </w:tcPr>
          <w:p>
            <w:r>
              <w:t>90–100%</w:t>
            </w:r>
          </w:p>
        </w:tc>
        <w:tc>
          <w:tcPr>
            <w:tcW w:type="dxa" w:w="2880"/>
          </w:tcPr>
          <w:p>
            <w:r>
              <w:t>100%</w:t>
            </w:r>
          </w:p>
        </w:tc>
        <w:tc>
          <w:tcPr>
            <w:tcW w:type="dxa" w:w="2880"/>
          </w:tcPr>
          <w:p>
            <w:r>
              <w:t>Полное выполнение целей</w:t>
            </w:r>
          </w:p>
        </w:tc>
      </w:tr>
      <w:tr>
        <w:tc>
          <w:tcPr>
            <w:tcW w:type="dxa" w:w="2880"/>
          </w:tcPr>
          <w:p>
            <w:r>
              <w:t>&gt;100%</w:t>
            </w:r>
          </w:p>
        </w:tc>
        <w:tc>
          <w:tcPr>
            <w:tcW w:type="dxa" w:w="2880"/>
          </w:tcPr>
          <w:p>
            <w:r>
              <w:t>до +20%</w:t>
            </w:r>
          </w:p>
        </w:tc>
        <w:tc>
          <w:tcPr>
            <w:tcW w:type="dxa" w:w="2880"/>
          </w:tcPr>
          <w:p>
            <w:r>
              <w:t>По решению комиссии при наличии фонда</w:t>
            </w:r>
          </w:p>
        </w:tc>
      </w:tr>
    </w:tbl>
    <w:p>
      <w:r>
        <w:t>4.3. Премиальный фонд ограничивается до 3% бюджета соответствующего субъекта/органа; источники — экономия административных расходов и перераспределение неэффективных программ. Использование фонда подлежит обязательному аудиту и публикации.</w:t>
      </w:r>
    </w:p>
    <w:p>
      <w:r>
        <w:rPr>
          <w:b/>
          <w:sz w:val="28"/>
        </w:rPr>
        <w:t>5. Региональные коэффициенты</w:t>
      </w:r>
    </w:p>
    <w:p>
      <w:r>
        <w:t>РК устанавливается по типологии субъектов: депрессивные — 0,7; средние — 1,0; развитые — 1,2. Пересмотр — не реже одного раза в три года по данным Росстата и Минэкономразвития (методика в Приложении C).</w:t>
      </w:r>
    </w:p>
    <w:p>
      <w:r>
        <w:rPr>
          <w:b/>
          <w:sz w:val="28"/>
        </w:rPr>
        <w:t>6. Учёт внешних факторов и реалистичность KPI</w:t>
      </w:r>
    </w:p>
    <w:p>
      <w:r>
        <w:t>6.1. KPI должны быть достижимыми и подкрепляться доступностью ресурсов.</w:t>
      </w:r>
    </w:p>
    <w:p>
      <w:r>
        <w:t>6.2. Комиссия рассматривает обращения о временном изменении целевых значений, приостанавливает санкции при документально подтверждённых внешних обстоятельствах и публикует мотивированные заключения.</w:t>
      </w:r>
    </w:p>
    <w:p>
      <w:r>
        <w:rPr>
          <w:b/>
          <w:sz w:val="28"/>
        </w:rPr>
        <w:t>7. Учёт и прозрачность данных (реестр KPI)</w:t>
      </w:r>
    </w:p>
    <w:p>
      <w:r>
        <w:t>7.1. Все данные о выполнении KPI хранятся в защищённом реестре с неизменяемостью записей и полной историей изменений. Допускается использование распределённых реестровых технологий.</w:t>
      </w:r>
    </w:p>
    <w:p>
      <w:r>
        <w:t>7.2. Обеспечивается открытый API, форматы выгрузки, пользовательский веб‑интерфейс и мобильные приложения.</w:t>
      </w:r>
    </w:p>
    <w:p>
      <w:r>
        <w:t>7.3. Публикуются метаданные, методики расчёта и результаты проверок.</w:t>
      </w:r>
    </w:p>
    <w:p>
      <w:r>
        <w:rPr>
          <w:b/>
          <w:sz w:val="28"/>
        </w:rPr>
        <w:t>8. Контроль и аудит</w:t>
      </w:r>
    </w:p>
    <w:p>
      <w:r>
        <w:t>Тройной контур контроля:</w:t>
      </w:r>
    </w:p>
    <w:p>
      <w:r>
        <w:t>а) внутренний — вышестоящие органы, финансовые и контрольные подразделения;</w:t>
      </w:r>
    </w:p>
    <w:p>
      <w:r>
        <w:t>б) внешний — Счётная палата, Банк России (в части финансовых показателей), независимые аудиторские организации по конкурсу;</w:t>
      </w:r>
    </w:p>
    <w:p>
      <w:r>
        <w:t>в) общественный — общественные советы, НКО, платформа обратной связи для граждан, обязательная публикация результатов.</w:t>
      </w:r>
    </w:p>
    <w:p>
      <w:r>
        <w:rPr>
          <w:b/>
          <w:sz w:val="28"/>
        </w:rPr>
        <w:t>9. Ответственность и меры реагирования</w:t>
      </w:r>
    </w:p>
    <w:p>
      <w:r>
        <w:t>9.1. При системном недостижении минимально допустимых значений KPI два отчётных периода подряд инициируются кадровые решения в отношении руководителя и его заместителей, вплоть до досрочного освобождения от должности.</w:t>
      </w:r>
    </w:p>
    <w:p>
      <w:r>
        <w:t>9.2. За искажение или фальсификацию данных — дисциплинарная, административная и уголовная ответственность в соответствии с законодательством Российской Федерации.</w:t>
      </w:r>
    </w:p>
    <w:p>
      <w:r>
        <w:t>9.3. Решения принимаются по итогам служебной проверки и независимой экспертизы с правом обжалования в суде.</w:t>
      </w:r>
    </w:p>
    <w:p>
      <w:r>
        <w:rPr>
          <w:b/>
          <w:sz w:val="28"/>
        </w:rPr>
        <w:t>10. Пилотный проект и этапы внедрения</w:t>
      </w:r>
    </w:p>
    <w:p>
      <w:r>
        <w:t>10.1. Пилотные регионы: Республика Татарстан, Калининградская область, Тульская область, Краснодарский край, Курганская область.</w:t>
      </w:r>
    </w:p>
    <w:p>
      <w:r>
        <w:t>10.2. Этапы: 2025 — обучение персонала и запуск платформы; 2026 — анализ и корректировка методики; с 2027 — масштабирование по РФ.</w:t>
      </w:r>
    </w:p>
    <w:p>
      <w:r>
        <w:t>10.3. Критерии успешности пилота: полнота и качество данных, доля показателей с подтверждёнными источниками, соблюдение сроков отчётности, результаты независимого аудита.</w:t>
      </w:r>
    </w:p>
    <w:p>
      <w:r>
        <w:rPr>
          <w:b/>
          <w:sz w:val="28"/>
        </w:rPr>
        <w:t>11. Изменения в законодательстве и поручения</w:t>
      </w:r>
    </w:p>
    <w:p>
      <w:r>
        <w:t>11.1. Поручить Правительству РФ подготовить проекты изменений в: Федеральный закон № 79‑ФЗ «О государственной гражданской службе Российской Федерации», Бюджетный кодекс РФ, Трудовой кодекс РФ и иные акты в части внедрения премирования на основе KPI, требований к данным и контролю.</w:t>
      </w:r>
    </w:p>
    <w:p>
      <w:r>
        <w:t>11.2. Установить порядок утверждения типовых перечней KPI, методик нормирования и состава независимой комиссии.</w:t>
      </w:r>
    </w:p>
    <w:p>
      <w:r>
        <w:rPr>
          <w:b/>
          <w:sz w:val="28"/>
        </w:rPr>
        <w:t>12. Переходные положения и сроки вступления</w:t>
      </w:r>
    </w:p>
    <w:p>
      <w:r>
        <w:t>12.1. Нормы о пилотном проекте вступают в силу с 1 января 2025 года.</w:t>
      </w:r>
    </w:p>
    <w:p>
      <w:r>
        <w:t>12.2. По итогам пилота Правительство РФ вносит предложения о поэтапном распространении системы на все органы власти с 1 января 2027 года.</w:t>
      </w:r>
    </w:p>
    <w:p>
      <w:r>
        <w:t>12.3. До утверждения типовых методик допускается применение временных методик, согласованных независимой комиссией.</w:t>
      </w:r>
    </w:p>
    <w:p>
      <w:r>
        <w:rPr>
          <w:b/>
          <w:sz w:val="28"/>
        </w:rPr>
        <w:t>Приложения (справочные)</w:t>
      </w:r>
    </w:p>
    <w:p>
      <w:r>
        <w:t>A. Примерный перечень KPI по уровням должностей и метод нормирования.</w:t>
      </w:r>
    </w:p>
    <w:p>
      <w:r>
        <w:t>B. Шаблон расчёта интегрального показателя выполнения KPI.</w:t>
      </w:r>
    </w:p>
    <w:p>
      <w:r>
        <w:t>C. Методика отнесения регионов к группам для расчёта РК и порядок пересмотра.</w:t>
      </w:r>
    </w:p>
    <w:p>
      <w:r>
        <w:t>D. Минимальные требования к данным, API и журналированию изменений.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