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9F" w:rsidRPr="0095019F" w:rsidRDefault="0095019F" w:rsidP="005B71D7">
      <w:pPr>
        <w:pStyle w:val="a3"/>
        <w:rPr>
          <w:b/>
          <w:sz w:val="32"/>
        </w:rPr>
      </w:pPr>
    </w:p>
    <w:p w:rsidR="0095019F" w:rsidRPr="0095019F" w:rsidRDefault="0095019F" w:rsidP="0095019F">
      <w:pPr>
        <w:pStyle w:val="a3"/>
        <w:jc w:val="center"/>
        <w:rPr>
          <w:b/>
          <w:sz w:val="32"/>
        </w:rPr>
      </w:pPr>
      <w:bookmarkStart w:id="0" w:name="_GoBack"/>
      <w:r w:rsidRPr="0095019F">
        <w:rPr>
          <w:b/>
          <w:sz w:val="32"/>
        </w:rPr>
        <w:t>Проект положения</w:t>
      </w:r>
      <w:r w:rsidRPr="0095019F">
        <w:rPr>
          <w:b/>
          <w:sz w:val="32"/>
        </w:rPr>
        <w:br/>
        <w:t>о целевом гранте «Техника и цифра» для библиотек города Москвы</w:t>
      </w:r>
    </w:p>
    <w:bookmarkEnd w:id="0"/>
    <w:p w:rsidR="0095019F" w:rsidRDefault="0095019F" w:rsidP="0095019F">
      <w:r>
        <w:pict>
          <v:rect id="_x0000_i1093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1. Общие положения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1.1. Настоящее Положение определяет цели, задачи, порядок предоставления, использования и контроля целевого гранта «Техника и цифра» (далее — Грант) для библиотек города Москвы.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1.2. Грант предназначен для модернизации технического оснащения библиотек, развития цифровой инфраструктуры и создания условий для проведения современных культурных, образовательных и просветительских программ.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1.3. Получателями Гранта являются государственные библиотечные учреждения города Москвы и их филиалы (далее — библиотеки), участвующие в конкурсном отборе и признанные победителями конкурса.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1.4. Финансирование Гранта осуществляется за счёт средств бюджета города Москвы в пределах ассигнований, предусмотренных на указанные цели.</w:t>
      </w:r>
    </w:p>
    <w:p w:rsidR="0095019F" w:rsidRPr="005B71D7" w:rsidRDefault="0095019F" w:rsidP="0095019F">
      <w:pPr>
        <w:jc w:val="both"/>
        <w:rPr>
          <w:sz w:val="24"/>
        </w:rPr>
      </w:pPr>
      <w:r w:rsidRPr="005B71D7">
        <w:rPr>
          <w:sz w:val="24"/>
        </w:rPr>
        <w:pict>
          <v:rect id="_x0000_i1094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2. Цели и задачи Гранта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2.1. Целями предоставления Гранта являются:</w:t>
      </w:r>
    </w:p>
    <w:p w:rsidR="0095019F" w:rsidRPr="005B71D7" w:rsidRDefault="0095019F" w:rsidP="0095019F">
      <w:pPr>
        <w:pStyle w:val="a3"/>
        <w:numPr>
          <w:ilvl w:val="0"/>
          <w:numId w:val="1"/>
        </w:numPr>
        <w:jc w:val="both"/>
        <w:rPr>
          <w:sz w:val="28"/>
        </w:rPr>
      </w:pPr>
      <w:r w:rsidRPr="005B71D7">
        <w:rPr>
          <w:sz w:val="28"/>
        </w:rPr>
        <w:t>повышение качества проведения мероприятий в библиотеках за счёт современного светового и звукового оборудования;</w:t>
      </w:r>
    </w:p>
    <w:p w:rsidR="0095019F" w:rsidRPr="005B71D7" w:rsidRDefault="0095019F" w:rsidP="0095019F">
      <w:pPr>
        <w:pStyle w:val="a3"/>
        <w:numPr>
          <w:ilvl w:val="0"/>
          <w:numId w:val="1"/>
        </w:numPr>
        <w:jc w:val="both"/>
        <w:rPr>
          <w:sz w:val="28"/>
        </w:rPr>
      </w:pPr>
      <w:r w:rsidRPr="005B71D7">
        <w:rPr>
          <w:sz w:val="28"/>
        </w:rPr>
        <w:t>ускорение процессов оцифровки фондов и расширение доступа пользователей к электронным копиям изданий;</w:t>
      </w:r>
    </w:p>
    <w:p w:rsidR="0095019F" w:rsidRPr="005B71D7" w:rsidRDefault="0095019F" w:rsidP="0095019F">
      <w:pPr>
        <w:pStyle w:val="a3"/>
        <w:numPr>
          <w:ilvl w:val="0"/>
          <w:numId w:val="1"/>
        </w:numPr>
        <w:jc w:val="both"/>
        <w:rPr>
          <w:sz w:val="28"/>
        </w:rPr>
      </w:pPr>
      <w:r w:rsidRPr="005B71D7">
        <w:rPr>
          <w:sz w:val="28"/>
        </w:rPr>
        <w:t>развитие и обновление ИТ-инфраструктуры библиотек, повышение устойчивости и надёжности работы техники;</w:t>
      </w:r>
    </w:p>
    <w:p w:rsidR="0095019F" w:rsidRPr="005B71D7" w:rsidRDefault="0095019F" w:rsidP="0095019F">
      <w:pPr>
        <w:pStyle w:val="a3"/>
        <w:numPr>
          <w:ilvl w:val="0"/>
          <w:numId w:val="1"/>
        </w:numPr>
        <w:jc w:val="both"/>
        <w:rPr>
          <w:sz w:val="28"/>
        </w:rPr>
      </w:pPr>
      <w:r w:rsidRPr="005B71D7">
        <w:rPr>
          <w:sz w:val="28"/>
        </w:rPr>
        <w:t xml:space="preserve">создание и развитие </w:t>
      </w:r>
      <w:proofErr w:type="spellStart"/>
      <w:r w:rsidRPr="005B71D7">
        <w:rPr>
          <w:sz w:val="28"/>
        </w:rPr>
        <w:t>мейкер</w:t>
      </w:r>
      <w:proofErr w:type="spellEnd"/>
      <w:r w:rsidRPr="005B71D7">
        <w:rPr>
          <w:sz w:val="28"/>
        </w:rPr>
        <w:t>-зон и цифровых творческих пространств;</w:t>
      </w:r>
    </w:p>
    <w:p w:rsidR="0095019F" w:rsidRPr="005B71D7" w:rsidRDefault="0095019F" w:rsidP="0095019F">
      <w:pPr>
        <w:pStyle w:val="a3"/>
        <w:numPr>
          <w:ilvl w:val="0"/>
          <w:numId w:val="1"/>
        </w:numPr>
        <w:jc w:val="both"/>
        <w:rPr>
          <w:sz w:val="28"/>
        </w:rPr>
      </w:pPr>
      <w:r w:rsidRPr="005B71D7">
        <w:rPr>
          <w:sz w:val="28"/>
        </w:rPr>
        <w:t>снижение трудозатрат и стрессовой нагрузки сотрудников, связанных с «ручными» техническими процессами и устранением неисправностей.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2.2. Задачами Гранта являются:</w:t>
      </w:r>
    </w:p>
    <w:p w:rsidR="0095019F" w:rsidRPr="005B71D7" w:rsidRDefault="0095019F" w:rsidP="0095019F">
      <w:pPr>
        <w:pStyle w:val="a3"/>
        <w:numPr>
          <w:ilvl w:val="0"/>
          <w:numId w:val="2"/>
        </w:numPr>
        <w:jc w:val="both"/>
        <w:rPr>
          <w:sz w:val="28"/>
        </w:rPr>
      </w:pPr>
      <w:r w:rsidRPr="005B71D7">
        <w:rPr>
          <w:sz w:val="28"/>
        </w:rPr>
        <w:t>оснащение библиотек современными техническими средствами в соответствии с типовым перечнем допустимых затрат;</w:t>
      </w:r>
    </w:p>
    <w:p w:rsidR="0095019F" w:rsidRPr="005B71D7" w:rsidRDefault="0095019F" w:rsidP="0095019F">
      <w:pPr>
        <w:pStyle w:val="a3"/>
        <w:numPr>
          <w:ilvl w:val="0"/>
          <w:numId w:val="2"/>
        </w:numPr>
        <w:jc w:val="both"/>
        <w:rPr>
          <w:sz w:val="28"/>
        </w:rPr>
      </w:pPr>
      <w:r w:rsidRPr="005B71D7">
        <w:rPr>
          <w:sz w:val="28"/>
        </w:rPr>
        <w:lastRenderedPageBreak/>
        <w:t>обеспечение сотрудников необходимыми знаниями и навыками по эксплуатации оборудования;</w:t>
      </w:r>
    </w:p>
    <w:p w:rsidR="0095019F" w:rsidRPr="005B71D7" w:rsidRDefault="0095019F" w:rsidP="0095019F">
      <w:pPr>
        <w:pStyle w:val="a3"/>
        <w:numPr>
          <w:ilvl w:val="0"/>
          <w:numId w:val="2"/>
        </w:numPr>
        <w:jc w:val="both"/>
        <w:rPr>
          <w:sz w:val="28"/>
        </w:rPr>
      </w:pPr>
      <w:r w:rsidRPr="005B71D7">
        <w:rPr>
          <w:sz w:val="28"/>
        </w:rPr>
        <w:t>организация системного сервисного обслуживания с установленными параметрами качества (SLA).</w:t>
      </w:r>
    </w:p>
    <w:p w:rsidR="0095019F" w:rsidRPr="005B71D7" w:rsidRDefault="0095019F" w:rsidP="0095019F">
      <w:pPr>
        <w:jc w:val="both"/>
        <w:rPr>
          <w:sz w:val="24"/>
        </w:rPr>
      </w:pPr>
      <w:r w:rsidRPr="005B71D7">
        <w:rPr>
          <w:sz w:val="24"/>
        </w:rPr>
        <w:pict>
          <v:rect id="_x0000_i1095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3. Направления использования средств Гранта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3.1. Средства Гранта могут быть направлены на следующие группы расходов.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3.1.1. Оборудование для проведения мероприятий (свет и звук):</w:t>
      </w:r>
    </w:p>
    <w:p w:rsidR="0095019F" w:rsidRPr="005B71D7" w:rsidRDefault="0095019F" w:rsidP="0095019F">
      <w:pPr>
        <w:pStyle w:val="a3"/>
        <w:numPr>
          <w:ilvl w:val="0"/>
          <w:numId w:val="3"/>
        </w:numPr>
        <w:jc w:val="both"/>
        <w:rPr>
          <w:sz w:val="28"/>
        </w:rPr>
      </w:pPr>
      <w:r w:rsidRPr="005B71D7">
        <w:rPr>
          <w:sz w:val="28"/>
        </w:rPr>
        <w:t>светодиодные (LED) световые приборы, стойки и риги;</w:t>
      </w:r>
    </w:p>
    <w:p w:rsidR="0095019F" w:rsidRPr="005B71D7" w:rsidRDefault="0095019F" w:rsidP="0095019F">
      <w:pPr>
        <w:pStyle w:val="a3"/>
        <w:numPr>
          <w:ilvl w:val="0"/>
          <w:numId w:val="3"/>
        </w:numPr>
        <w:jc w:val="both"/>
        <w:rPr>
          <w:sz w:val="28"/>
        </w:rPr>
      </w:pPr>
      <w:r w:rsidRPr="005B71D7">
        <w:rPr>
          <w:sz w:val="28"/>
        </w:rPr>
        <w:t xml:space="preserve">звуковые микшеры, </w:t>
      </w:r>
      <w:proofErr w:type="spellStart"/>
      <w:r w:rsidRPr="005B71D7">
        <w:rPr>
          <w:sz w:val="28"/>
        </w:rPr>
        <w:t>аудиоинтерфейсы</w:t>
      </w:r>
      <w:proofErr w:type="spellEnd"/>
      <w:r w:rsidRPr="005B71D7">
        <w:rPr>
          <w:sz w:val="28"/>
        </w:rPr>
        <w:t>;</w:t>
      </w:r>
    </w:p>
    <w:p w:rsidR="0095019F" w:rsidRPr="005B71D7" w:rsidRDefault="0095019F" w:rsidP="0095019F">
      <w:pPr>
        <w:pStyle w:val="a3"/>
        <w:numPr>
          <w:ilvl w:val="0"/>
          <w:numId w:val="3"/>
        </w:numPr>
        <w:jc w:val="both"/>
        <w:rPr>
          <w:sz w:val="28"/>
        </w:rPr>
      </w:pPr>
      <w:r w:rsidRPr="005B71D7">
        <w:rPr>
          <w:sz w:val="28"/>
        </w:rPr>
        <w:t>проводные и радиомикрофоны;</w:t>
      </w:r>
    </w:p>
    <w:p w:rsidR="0095019F" w:rsidRPr="005B71D7" w:rsidRDefault="0095019F" w:rsidP="0095019F">
      <w:pPr>
        <w:pStyle w:val="a3"/>
        <w:numPr>
          <w:ilvl w:val="0"/>
          <w:numId w:val="3"/>
        </w:numPr>
        <w:jc w:val="both"/>
        <w:rPr>
          <w:sz w:val="28"/>
        </w:rPr>
      </w:pPr>
      <w:r w:rsidRPr="005B71D7">
        <w:rPr>
          <w:sz w:val="28"/>
        </w:rPr>
        <w:t>портативные акустические системы;</w:t>
      </w:r>
    </w:p>
    <w:p w:rsidR="0095019F" w:rsidRPr="005B71D7" w:rsidRDefault="0095019F" w:rsidP="0095019F">
      <w:pPr>
        <w:pStyle w:val="a3"/>
        <w:numPr>
          <w:ilvl w:val="0"/>
          <w:numId w:val="3"/>
        </w:numPr>
        <w:jc w:val="both"/>
        <w:rPr>
          <w:sz w:val="28"/>
        </w:rPr>
      </w:pPr>
      <w:r w:rsidRPr="005B71D7">
        <w:rPr>
          <w:sz w:val="28"/>
        </w:rPr>
        <w:t>базовые средства управления светом, в том числе DMX-контроллеры и сопутствующее оборудование.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3.1.2. Оборудование для оцифровки и сканирования:</w:t>
      </w:r>
    </w:p>
    <w:p w:rsidR="0095019F" w:rsidRPr="005B71D7" w:rsidRDefault="0095019F" w:rsidP="0095019F">
      <w:pPr>
        <w:pStyle w:val="a3"/>
        <w:numPr>
          <w:ilvl w:val="0"/>
          <w:numId w:val="4"/>
        </w:numPr>
        <w:jc w:val="both"/>
        <w:rPr>
          <w:sz w:val="28"/>
        </w:rPr>
      </w:pPr>
      <w:r w:rsidRPr="005B71D7">
        <w:rPr>
          <w:sz w:val="28"/>
        </w:rPr>
        <w:t>книжные планетарные сканеры, обеспечивающие бережную съёмку без повреждения корешка;</w:t>
      </w:r>
    </w:p>
    <w:p w:rsidR="0095019F" w:rsidRPr="005B71D7" w:rsidRDefault="0095019F" w:rsidP="0095019F">
      <w:pPr>
        <w:pStyle w:val="a3"/>
        <w:numPr>
          <w:ilvl w:val="0"/>
          <w:numId w:val="4"/>
        </w:numPr>
        <w:jc w:val="both"/>
        <w:rPr>
          <w:sz w:val="28"/>
        </w:rPr>
      </w:pPr>
      <w:r w:rsidRPr="005B71D7">
        <w:rPr>
          <w:sz w:val="28"/>
        </w:rPr>
        <w:t>потоковые ADF-сканеры для сканирования документации и массовых материалов;</w:t>
      </w:r>
    </w:p>
    <w:p w:rsidR="0095019F" w:rsidRPr="005B71D7" w:rsidRDefault="0095019F" w:rsidP="0095019F">
      <w:pPr>
        <w:pStyle w:val="a3"/>
        <w:numPr>
          <w:ilvl w:val="0"/>
          <w:numId w:val="4"/>
        </w:numPr>
        <w:jc w:val="both"/>
        <w:rPr>
          <w:sz w:val="28"/>
        </w:rPr>
      </w:pPr>
      <w:r w:rsidRPr="005B71D7">
        <w:rPr>
          <w:sz w:val="28"/>
        </w:rPr>
        <w:t>программное обеспечение для распознавания текста и обработки изображений.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3.1.3. ИТ-инфраструктура библиотек:</w:t>
      </w:r>
    </w:p>
    <w:p w:rsidR="0095019F" w:rsidRPr="005B71D7" w:rsidRDefault="0095019F" w:rsidP="0095019F">
      <w:pPr>
        <w:pStyle w:val="a3"/>
        <w:numPr>
          <w:ilvl w:val="0"/>
          <w:numId w:val="5"/>
        </w:numPr>
        <w:jc w:val="both"/>
        <w:rPr>
          <w:sz w:val="28"/>
        </w:rPr>
      </w:pPr>
      <w:r w:rsidRPr="005B71D7">
        <w:rPr>
          <w:sz w:val="28"/>
        </w:rPr>
        <w:t>рабочие станции для читальных залов и рабочих мест сотрудников;</w:t>
      </w:r>
    </w:p>
    <w:p w:rsidR="0095019F" w:rsidRPr="005B71D7" w:rsidRDefault="0095019F" w:rsidP="0095019F">
      <w:pPr>
        <w:pStyle w:val="a3"/>
        <w:numPr>
          <w:ilvl w:val="0"/>
          <w:numId w:val="5"/>
        </w:numPr>
        <w:jc w:val="both"/>
        <w:rPr>
          <w:sz w:val="28"/>
        </w:rPr>
      </w:pPr>
      <w:r w:rsidRPr="005B71D7">
        <w:rPr>
          <w:sz w:val="28"/>
        </w:rPr>
        <w:t xml:space="preserve">сетевое оборудование (коммутаторы, маршрутизаторы, точки доступа </w:t>
      </w:r>
      <w:proofErr w:type="spellStart"/>
      <w:r w:rsidRPr="005B71D7">
        <w:rPr>
          <w:sz w:val="28"/>
        </w:rPr>
        <w:t>Wi-Fi</w:t>
      </w:r>
      <w:proofErr w:type="spellEnd"/>
      <w:r w:rsidRPr="005B71D7">
        <w:rPr>
          <w:sz w:val="28"/>
        </w:rPr>
        <w:t>);</w:t>
      </w:r>
    </w:p>
    <w:p w:rsidR="0095019F" w:rsidRPr="005B71D7" w:rsidRDefault="0095019F" w:rsidP="0095019F">
      <w:pPr>
        <w:pStyle w:val="a3"/>
        <w:numPr>
          <w:ilvl w:val="0"/>
          <w:numId w:val="5"/>
        </w:numPr>
        <w:jc w:val="both"/>
        <w:rPr>
          <w:sz w:val="28"/>
        </w:rPr>
      </w:pPr>
      <w:r w:rsidRPr="005B71D7">
        <w:rPr>
          <w:sz w:val="28"/>
        </w:rPr>
        <w:t>источники бесперебойного питания (ИБП);</w:t>
      </w:r>
    </w:p>
    <w:p w:rsidR="0095019F" w:rsidRPr="005B71D7" w:rsidRDefault="0095019F" w:rsidP="0095019F">
      <w:pPr>
        <w:pStyle w:val="a3"/>
        <w:numPr>
          <w:ilvl w:val="0"/>
          <w:numId w:val="5"/>
        </w:numPr>
        <w:jc w:val="both"/>
        <w:rPr>
          <w:sz w:val="28"/>
        </w:rPr>
      </w:pPr>
      <w:r w:rsidRPr="005B71D7">
        <w:rPr>
          <w:sz w:val="28"/>
        </w:rPr>
        <w:t>лицензии профильного программного обеспечения, в том числе для каталогизации, учёта, аналитики и обслуживания пользователей.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 xml:space="preserve">3.1.4. </w:t>
      </w:r>
      <w:proofErr w:type="spellStart"/>
      <w:r w:rsidRPr="005B71D7">
        <w:rPr>
          <w:sz w:val="28"/>
        </w:rPr>
        <w:t>Мейкер</w:t>
      </w:r>
      <w:proofErr w:type="spellEnd"/>
      <w:r w:rsidRPr="005B71D7">
        <w:rPr>
          <w:sz w:val="28"/>
        </w:rPr>
        <w:t>-зоны и цифровое творчество (при наличии потребности):</w:t>
      </w:r>
    </w:p>
    <w:p w:rsidR="0095019F" w:rsidRPr="005B71D7" w:rsidRDefault="0095019F" w:rsidP="0095019F">
      <w:pPr>
        <w:pStyle w:val="a3"/>
        <w:numPr>
          <w:ilvl w:val="0"/>
          <w:numId w:val="6"/>
        </w:numPr>
        <w:jc w:val="both"/>
        <w:rPr>
          <w:sz w:val="28"/>
        </w:rPr>
      </w:pPr>
      <w:r w:rsidRPr="005B71D7">
        <w:rPr>
          <w:sz w:val="28"/>
        </w:rPr>
        <w:t>3D-принтеры и расходные материалы к ним;</w:t>
      </w:r>
    </w:p>
    <w:p w:rsidR="0095019F" w:rsidRPr="005B71D7" w:rsidRDefault="0095019F" w:rsidP="0095019F">
      <w:pPr>
        <w:pStyle w:val="a3"/>
        <w:numPr>
          <w:ilvl w:val="0"/>
          <w:numId w:val="6"/>
        </w:numPr>
        <w:jc w:val="both"/>
        <w:rPr>
          <w:sz w:val="28"/>
        </w:rPr>
      </w:pPr>
      <w:r w:rsidRPr="005B71D7">
        <w:rPr>
          <w:sz w:val="28"/>
        </w:rPr>
        <w:t>безопасный ручной электроинструмент и оборудование для проведения мастер-классов;</w:t>
      </w:r>
    </w:p>
    <w:p w:rsidR="0095019F" w:rsidRPr="005B71D7" w:rsidRDefault="0095019F" w:rsidP="0095019F">
      <w:pPr>
        <w:pStyle w:val="a3"/>
        <w:numPr>
          <w:ilvl w:val="0"/>
          <w:numId w:val="6"/>
        </w:numPr>
        <w:jc w:val="both"/>
        <w:rPr>
          <w:sz w:val="28"/>
        </w:rPr>
      </w:pPr>
      <w:r w:rsidRPr="005B71D7">
        <w:rPr>
          <w:sz w:val="28"/>
        </w:rPr>
        <w:t>средства обеспечения безопасности (средства индивидуальной защиты, локальная вытяжная вентиляция и другие средства).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lastRenderedPageBreak/>
        <w:t>3.1.5. Обучение и сервисное сопровождение:</w:t>
      </w:r>
    </w:p>
    <w:p w:rsidR="0095019F" w:rsidRPr="005B71D7" w:rsidRDefault="0095019F" w:rsidP="0095019F">
      <w:pPr>
        <w:pStyle w:val="a3"/>
        <w:numPr>
          <w:ilvl w:val="0"/>
          <w:numId w:val="7"/>
        </w:numPr>
        <w:jc w:val="both"/>
        <w:rPr>
          <w:sz w:val="28"/>
        </w:rPr>
      </w:pPr>
      <w:r w:rsidRPr="005B71D7">
        <w:rPr>
          <w:sz w:val="28"/>
        </w:rPr>
        <w:t>вводные и углублённые тренинги для сотрудников библиотек по эксплуатации оборудования;</w:t>
      </w:r>
    </w:p>
    <w:p w:rsidR="0095019F" w:rsidRPr="005B71D7" w:rsidRDefault="0095019F" w:rsidP="0095019F">
      <w:pPr>
        <w:pStyle w:val="a3"/>
        <w:numPr>
          <w:ilvl w:val="0"/>
          <w:numId w:val="7"/>
        </w:numPr>
        <w:jc w:val="both"/>
        <w:rPr>
          <w:sz w:val="28"/>
        </w:rPr>
      </w:pPr>
      <w:r w:rsidRPr="005B71D7">
        <w:rPr>
          <w:sz w:val="28"/>
        </w:rPr>
        <w:t>разработка и внедрение регламентов эксплуатации и технического обслуживания;</w:t>
      </w:r>
    </w:p>
    <w:p w:rsidR="0095019F" w:rsidRPr="005B71D7" w:rsidRDefault="0095019F" w:rsidP="0095019F">
      <w:pPr>
        <w:pStyle w:val="a3"/>
        <w:numPr>
          <w:ilvl w:val="0"/>
          <w:numId w:val="7"/>
        </w:numPr>
        <w:jc w:val="both"/>
        <w:rPr>
          <w:sz w:val="28"/>
        </w:rPr>
      </w:pPr>
      <w:r w:rsidRPr="005B71D7">
        <w:rPr>
          <w:sz w:val="28"/>
        </w:rPr>
        <w:t>заключение сервисных контрактов с установлением параметров SLA (сроки реагирования, сроки устранения неисправностей, регламентные работы).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3.2. Использование средств Гранта на цели, не указанные в пункте 3.1 настоящего Положения, не допускается.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3.3. Конкретный состав оборудования и услуг по каждой заявке определяется с учётом потребностей библиотеки, технических условий и лимитов финансирования.</w:t>
      </w:r>
    </w:p>
    <w:p w:rsidR="0095019F" w:rsidRPr="005B71D7" w:rsidRDefault="0095019F" w:rsidP="0095019F">
      <w:pPr>
        <w:jc w:val="both"/>
        <w:rPr>
          <w:sz w:val="24"/>
        </w:rPr>
      </w:pPr>
      <w:r w:rsidRPr="005B71D7">
        <w:rPr>
          <w:sz w:val="24"/>
        </w:rPr>
        <w:pict>
          <v:rect id="_x0000_i1096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4. Порядок предоставления Гранта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4.1. Грант предоставляется на конкурсной основе один раз в год.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4.2. Организатором конкурса по отбору получателей Гранта является Департамент культуры города Москвы.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4.3. Участниками конкурса могут быть библиотеки, подавшие заявки по установленной форме в сроки, определённые конкурсной документацией.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4.4. В заявке указываются:</w:t>
      </w:r>
    </w:p>
    <w:p w:rsidR="0095019F" w:rsidRPr="005B71D7" w:rsidRDefault="0095019F" w:rsidP="0095019F">
      <w:pPr>
        <w:pStyle w:val="a3"/>
        <w:numPr>
          <w:ilvl w:val="0"/>
          <w:numId w:val="8"/>
        </w:numPr>
        <w:jc w:val="both"/>
        <w:rPr>
          <w:sz w:val="28"/>
        </w:rPr>
      </w:pPr>
      <w:r w:rsidRPr="005B71D7">
        <w:rPr>
          <w:sz w:val="28"/>
        </w:rPr>
        <w:t>обоснование необходимости приобретения оборудования и (или) услуг;</w:t>
      </w:r>
    </w:p>
    <w:p w:rsidR="0095019F" w:rsidRPr="005B71D7" w:rsidRDefault="0095019F" w:rsidP="0095019F">
      <w:pPr>
        <w:pStyle w:val="a3"/>
        <w:numPr>
          <w:ilvl w:val="0"/>
          <w:numId w:val="8"/>
        </w:numPr>
        <w:jc w:val="both"/>
        <w:rPr>
          <w:sz w:val="28"/>
        </w:rPr>
      </w:pPr>
      <w:r w:rsidRPr="005B71D7">
        <w:rPr>
          <w:sz w:val="28"/>
        </w:rPr>
        <w:t>характеристики имеющейся технической базы и выявленные дефициты;</w:t>
      </w:r>
    </w:p>
    <w:p w:rsidR="0095019F" w:rsidRPr="005B71D7" w:rsidRDefault="0095019F" w:rsidP="0095019F">
      <w:pPr>
        <w:pStyle w:val="a3"/>
        <w:numPr>
          <w:ilvl w:val="0"/>
          <w:numId w:val="8"/>
        </w:numPr>
        <w:jc w:val="both"/>
        <w:rPr>
          <w:sz w:val="28"/>
        </w:rPr>
      </w:pPr>
      <w:r w:rsidRPr="005B71D7">
        <w:rPr>
          <w:sz w:val="28"/>
        </w:rPr>
        <w:t>план использования оборудования (мероприятия, оцифровка, работа с посетителями);</w:t>
      </w:r>
    </w:p>
    <w:p w:rsidR="0095019F" w:rsidRPr="005B71D7" w:rsidRDefault="0095019F" w:rsidP="0095019F">
      <w:pPr>
        <w:pStyle w:val="a3"/>
        <w:numPr>
          <w:ilvl w:val="0"/>
          <w:numId w:val="8"/>
        </w:numPr>
        <w:jc w:val="both"/>
        <w:rPr>
          <w:sz w:val="28"/>
        </w:rPr>
      </w:pPr>
      <w:r w:rsidRPr="005B71D7">
        <w:rPr>
          <w:sz w:val="28"/>
        </w:rPr>
        <w:t>план обучения сотрудников и обеспечения эксплуатации;</w:t>
      </w:r>
    </w:p>
    <w:p w:rsidR="0095019F" w:rsidRPr="005B71D7" w:rsidRDefault="0095019F" w:rsidP="0095019F">
      <w:pPr>
        <w:pStyle w:val="a3"/>
        <w:numPr>
          <w:ilvl w:val="0"/>
          <w:numId w:val="8"/>
        </w:numPr>
        <w:jc w:val="both"/>
        <w:rPr>
          <w:sz w:val="28"/>
        </w:rPr>
      </w:pPr>
      <w:r w:rsidRPr="005B71D7">
        <w:rPr>
          <w:sz w:val="28"/>
        </w:rPr>
        <w:t>ожидаемые количественные и качественные результаты (показатели).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4.5. Заявки рассматриваются конкурсной комиссией, формируемой Департаментом культуры города Москвы с участием представителей Департамента информационных технологий города Москвы и иных заинтересованных органов.</w:t>
      </w:r>
    </w:p>
    <w:p w:rsidR="0095019F" w:rsidRPr="005B71D7" w:rsidRDefault="0095019F" w:rsidP="0095019F">
      <w:pPr>
        <w:jc w:val="both"/>
        <w:rPr>
          <w:sz w:val="24"/>
        </w:rPr>
      </w:pPr>
      <w:r w:rsidRPr="005B71D7">
        <w:rPr>
          <w:sz w:val="24"/>
        </w:rPr>
        <w:pict>
          <v:rect id="_x0000_i1097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5. Критерии отбора заявок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lastRenderedPageBreak/>
        <w:t>5.1. Критериями отбора заявок являются:</w:t>
      </w:r>
    </w:p>
    <w:p w:rsidR="0095019F" w:rsidRPr="005B71D7" w:rsidRDefault="0095019F" w:rsidP="0095019F">
      <w:pPr>
        <w:pStyle w:val="a3"/>
        <w:numPr>
          <w:ilvl w:val="0"/>
          <w:numId w:val="9"/>
        </w:numPr>
        <w:jc w:val="both"/>
        <w:rPr>
          <w:sz w:val="28"/>
        </w:rPr>
      </w:pPr>
      <w:r w:rsidRPr="005B71D7">
        <w:rPr>
          <w:sz w:val="28"/>
        </w:rPr>
        <w:t>уровень и динамика посещаемости библиотеки, включая долю подростков и молодёжи;</w:t>
      </w:r>
    </w:p>
    <w:p w:rsidR="0095019F" w:rsidRPr="005B71D7" w:rsidRDefault="0095019F" w:rsidP="0095019F">
      <w:pPr>
        <w:pStyle w:val="a3"/>
        <w:numPr>
          <w:ilvl w:val="0"/>
          <w:numId w:val="9"/>
        </w:numPr>
        <w:jc w:val="both"/>
        <w:rPr>
          <w:sz w:val="28"/>
        </w:rPr>
      </w:pPr>
      <w:r w:rsidRPr="005B71D7">
        <w:rPr>
          <w:sz w:val="28"/>
        </w:rPr>
        <w:t>наличие и развитие детско-подростковых и молодёжных программ, культурных и образовательных мероприятий;</w:t>
      </w:r>
    </w:p>
    <w:p w:rsidR="0095019F" w:rsidRPr="005B71D7" w:rsidRDefault="0095019F" w:rsidP="0095019F">
      <w:pPr>
        <w:pStyle w:val="a3"/>
        <w:numPr>
          <w:ilvl w:val="0"/>
          <w:numId w:val="9"/>
        </w:numPr>
        <w:jc w:val="both"/>
        <w:rPr>
          <w:sz w:val="28"/>
        </w:rPr>
      </w:pPr>
      <w:r w:rsidRPr="005B71D7">
        <w:rPr>
          <w:sz w:val="28"/>
        </w:rPr>
        <w:t>наличие и реалистичность планов по оцифровке фондов и развитию цифровых сервисов для пользователей;</w:t>
      </w:r>
    </w:p>
    <w:p w:rsidR="0095019F" w:rsidRPr="005B71D7" w:rsidRDefault="0095019F" w:rsidP="0095019F">
      <w:pPr>
        <w:pStyle w:val="a3"/>
        <w:numPr>
          <w:ilvl w:val="0"/>
          <w:numId w:val="9"/>
        </w:numPr>
        <w:jc w:val="both"/>
        <w:rPr>
          <w:sz w:val="28"/>
        </w:rPr>
      </w:pPr>
      <w:r w:rsidRPr="005B71D7">
        <w:rPr>
          <w:sz w:val="28"/>
        </w:rPr>
        <w:t>готовность библиотеки к эксплуатации оборудования (помещения, базовая инфраструктура, кадровые ресурсы);</w:t>
      </w:r>
    </w:p>
    <w:p w:rsidR="0095019F" w:rsidRPr="005B71D7" w:rsidRDefault="0095019F" w:rsidP="0095019F">
      <w:pPr>
        <w:pStyle w:val="a3"/>
        <w:numPr>
          <w:ilvl w:val="0"/>
          <w:numId w:val="9"/>
        </w:numPr>
        <w:jc w:val="both"/>
        <w:rPr>
          <w:sz w:val="28"/>
        </w:rPr>
      </w:pPr>
      <w:r w:rsidRPr="005B71D7">
        <w:rPr>
          <w:sz w:val="28"/>
        </w:rPr>
        <w:t>обоснованность и рациональность запрашиваемого оснащения по номенклатуре и объёму;</w:t>
      </w:r>
    </w:p>
    <w:p w:rsidR="0095019F" w:rsidRPr="005B71D7" w:rsidRDefault="0095019F" w:rsidP="0095019F">
      <w:pPr>
        <w:pStyle w:val="a3"/>
        <w:numPr>
          <w:ilvl w:val="0"/>
          <w:numId w:val="9"/>
        </w:numPr>
        <w:jc w:val="both"/>
        <w:rPr>
          <w:sz w:val="28"/>
        </w:rPr>
      </w:pPr>
      <w:r w:rsidRPr="005B71D7">
        <w:rPr>
          <w:sz w:val="28"/>
        </w:rPr>
        <w:t>ожидаемый эффект для посетителей и сотрудников (улучшение качества обслуживания, снижение технических сбоев, сокращение времени подготовки и другие показатели).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5.2. Вес и приоритет критериев, а также минимальные пороговые значения устанавливаются конкурсной документацией.</w:t>
      </w:r>
    </w:p>
    <w:p w:rsidR="0095019F" w:rsidRPr="005B71D7" w:rsidRDefault="0095019F" w:rsidP="0095019F">
      <w:pPr>
        <w:jc w:val="both"/>
        <w:rPr>
          <w:sz w:val="24"/>
        </w:rPr>
      </w:pPr>
      <w:r w:rsidRPr="005B71D7">
        <w:rPr>
          <w:sz w:val="24"/>
        </w:rPr>
        <w:pict>
          <v:rect id="_x0000_i1098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6. Организация закупок и поставок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6.1. Закупка оборудования и услуг в рамках реализации Гранта осуществляется централизованно уполномоченными государственными бюджетными учреждениями-заказчиками (ГБУ-заказчики) в соответствии с законодательством Российской Федерации и города Москвы о закупках.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6.2. Для обеспечения экономии бюджетных средств и унификации технических решений допускается применение рамочных контрактов и других механизмов централизованных закупок.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6.3. Централизованный формат закупок направлен на:</w:t>
      </w:r>
    </w:p>
    <w:p w:rsidR="0095019F" w:rsidRPr="005B71D7" w:rsidRDefault="0095019F" w:rsidP="0095019F">
      <w:pPr>
        <w:pStyle w:val="a3"/>
        <w:numPr>
          <w:ilvl w:val="0"/>
          <w:numId w:val="10"/>
        </w:numPr>
        <w:jc w:val="both"/>
        <w:rPr>
          <w:sz w:val="28"/>
        </w:rPr>
      </w:pPr>
      <w:r w:rsidRPr="005B71D7">
        <w:rPr>
          <w:sz w:val="28"/>
        </w:rPr>
        <w:t>снижение стоимости поставляемого оборудования за счёт объёма;</w:t>
      </w:r>
    </w:p>
    <w:p w:rsidR="0095019F" w:rsidRPr="005B71D7" w:rsidRDefault="0095019F" w:rsidP="0095019F">
      <w:pPr>
        <w:pStyle w:val="a3"/>
        <w:numPr>
          <w:ilvl w:val="0"/>
          <w:numId w:val="10"/>
        </w:numPr>
        <w:jc w:val="both"/>
        <w:rPr>
          <w:sz w:val="28"/>
        </w:rPr>
      </w:pPr>
      <w:r w:rsidRPr="005B71D7">
        <w:rPr>
          <w:sz w:val="28"/>
        </w:rPr>
        <w:t>сокращение сроков поставки и ввода в эксплуатацию;</w:t>
      </w:r>
    </w:p>
    <w:p w:rsidR="0095019F" w:rsidRPr="005B71D7" w:rsidRDefault="0095019F" w:rsidP="0095019F">
      <w:pPr>
        <w:pStyle w:val="a3"/>
        <w:numPr>
          <w:ilvl w:val="0"/>
          <w:numId w:val="10"/>
        </w:numPr>
        <w:jc w:val="both"/>
        <w:rPr>
          <w:sz w:val="28"/>
        </w:rPr>
      </w:pPr>
      <w:r w:rsidRPr="005B71D7">
        <w:rPr>
          <w:sz w:val="28"/>
        </w:rPr>
        <w:t>единообразие технических стандартов, сервисной поддержки и запасных частей.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6.4. График поставок и ввода оборудования в эксплуатацию утверждается по итогам конкурса и доводится до получателей Гранта.</w:t>
      </w:r>
    </w:p>
    <w:p w:rsidR="0095019F" w:rsidRPr="005B71D7" w:rsidRDefault="0095019F" w:rsidP="0095019F">
      <w:pPr>
        <w:jc w:val="both"/>
        <w:rPr>
          <w:sz w:val="24"/>
        </w:rPr>
      </w:pPr>
      <w:r w:rsidRPr="005B71D7">
        <w:rPr>
          <w:sz w:val="24"/>
        </w:rPr>
        <w:pict>
          <v:rect id="_x0000_i1099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7. Обучение персонала и эксплуатация оборудования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lastRenderedPageBreak/>
        <w:t>7.1. Для сотрудников библиотек — получателей Гранта организуется обучение по программам, согласованным с Департаментом культуры города Москвы и Департаментом информационных технологий города Москвы.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7.2. Обучение включает:</w:t>
      </w:r>
    </w:p>
    <w:p w:rsidR="0095019F" w:rsidRPr="005B71D7" w:rsidRDefault="0095019F" w:rsidP="0095019F">
      <w:pPr>
        <w:pStyle w:val="a3"/>
        <w:numPr>
          <w:ilvl w:val="0"/>
          <w:numId w:val="11"/>
        </w:numPr>
        <w:jc w:val="both"/>
        <w:rPr>
          <w:sz w:val="28"/>
        </w:rPr>
      </w:pPr>
      <w:r w:rsidRPr="005B71D7">
        <w:rPr>
          <w:sz w:val="28"/>
        </w:rPr>
        <w:t>инструктажи по технике безопасности;</w:t>
      </w:r>
    </w:p>
    <w:p w:rsidR="0095019F" w:rsidRPr="005B71D7" w:rsidRDefault="0095019F" w:rsidP="0095019F">
      <w:pPr>
        <w:pStyle w:val="a3"/>
        <w:numPr>
          <w:ilvl w:val="0"/>
          <w:numId w:val="11"/>
        </w:numPr>
        <w:jc w:val="both"/>
        <w:rPr>
          <w:sz w:val="28"/>
        </w:rPr>
      </w:pPr>
      <w:r w:rsidRPr="005B71D7">
        <w:rPr>
          <w:sz w:val="28"/>
        </w:rPr>
        <w:t>обучение настройке и эксплуатации светового и звукового оборудования;</w:t>
      </w:r>
    </w:p>
    <w:p w:rsidR="0095019F" w:rsidRPr="005B71D7" w:rsidRDefault="0095019F" w:rsidP="0095019F">
      <w:pPr>
        <w:pStyle w:val="a3"/>
        <w:numPr>
          <w:ilvl w:val="0"/>
          <w:numId w:val="11"/>
        </w:numPr>
        <w:jc w:val="both"/>
        <w:rPr>
          <w:sz w:val="28"/>
        </w:rPr>
      </w:pPr>
      <w:r w:rsidRPr="005B71D7">
        <w:rPr>
          <w:sz w:val="28"/>
        </w:rPr>
        <w:t>обучение работе с книжными сканерами и программным обеспечением для оцифровки и каталогизации;</w:t>
      </w:r>
    </w:p>
    <w:p w:rsidR="0095019F" w:rsidRPr="005B71D7" w:rsidRDefault="0095019F" w:rsidP="0095019F">
      <w:pPr>
        <w:pStyle w:val="a3"/>
        <w:numPr>
          <w:ilvl w:val="0"/>
          <w:numId w:val="11"/>
        </w:numPr>
        <w:jc w:val="both"/>
        <w:rPr>
          <w:sz w:val="28"/>
        </w:rPr>
      </w:pPr>
      <w:r w:rsidRPr="005B71D7">
        <w:rPr>
          <w:sz w:val="28"/>
        </w:rPr>
        <w:t xml:space="preserve">практические занятия по использованию ИТ-оборудования и оборудования </w:t>
      </w:r>
      <w:proofErr w:type="spellStart"/>
      <w:r w:rsidRPr="005B71D7">
        <w:rPr>
          <w:sz w:val="28"/>
        </w:rPr>
        <w:t>мейкер</w:t>
      </w:r>
      <w:proofErr w:type="spellEnd"/>
      <w:r w:rsidRPr="005B71D7">
        <w:rPr>
          <w:sz w:val="28"/>
        </w:rPr>
        <w:t>-зон.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7.3. По итогам обучения может проводиться итоговая проверка знаний и при необходимости выдача удостоверений (сертификатов).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7.4. Эксплуатация оборудования осуществляется в соответствии с регламентами, разработанными и доведёнными до сведения получателей Гранта.</w:t>
      </w:r>
    </w:p>
    <w:p w:rsidR="0095019F" w:rsidRPr="005B71D7" w:rsidRDefault="0095019F" w:rsidP="0095019F">
      <w:pPr>
        <w:jc w:val="both"/>
        <w:rPr>
          <w:sz w:val="24"/>
        </w:rPr>
      </w:pPr>
      <w:r w:rsidRPr="005B71D7">
        <w:rPr>
          <w:sz w:val="24"/>
        </w:rPr>
        <w:pict>
          <v:rect id="_x0000_i1100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8. Мониторинг, отчётность и показатели эффективности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8.1. Получатели Гранта представляют в Департамент культуры города Москвы годовой отчёт о реализации мероприятий за счёт средств Гранта.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8.2. Отчёт включает:</w:t>
      </w:r>
    </w:p>
    <w:p w:rsidR="0095019F" w:rsidRPr="005B71D7" w:rsidRDefault="0095019F" w:rsidP="0095019F">
      <w:pPr>
        <w:pStyle w:val="a3"/>
        <w:numPr>
          <w:ilvl w:val="0"/>
          <w:numId w:val="12"/>
        </w:numPr>
        <w:jc w:val="both"/>
        <w:rPr>
          <w:sz w:val="28"/>
        </w:rPr>
      </w:pPr>
      <w:r w:rsidRPr="005B71D7">
        <w:rPr>
          <w:sz w:val="28"/>
        </w:rPr>
        <w:t xml:space="preserve">перечень фактически приобретённого и </w:t>
      </w:r>
      <w:proofErr w:type="gramStart"/>
      <w:r w:rsidRPr="005B71D7">
        <w:rPr>
          <w:sz w:val="28"/>
        </w:rPr>
        <w:t>введённого в эксплуатацию оборудования</w:t>
      </w:r>
      <w:proofErr w:type="gramEnd"/>
      <w:r w:rsidRPr="005B71D7">
        <w:rPr>
          <w:sz w:val="28"/>
        </w:rPr>
        <w:t xml:space="preserve"> и услуг;</w:t>
      </w:r>
    </w:p>
    <w:p w:rsidR="0095019F" w:rsidRPr="005B71D7" w:rsidRDefault="0095019F" w:rsidP="0095019F">
      <w:pPr>
        <w:pStyle w:val="a3"/>
        <w:numPr>
          <w:ilvl w:val="0"/>
          <w:numId w:val="12"/>
        </w:numPr>
        <w:jc w:val="both"/>
        <w:rPr>
          <w:sz w:val="28"/>
        </w:rPr>
      </w:pPr>
      <w:r w:rsidRPr="005B71D7">
        <w:rPr>
          <w:sz w:val="28"/>
        </w:rPr>
        <w:t>информацию об использовании оборудования (мероприятия, оцифровка, работа с пользователями);</w:t>
      </w:r>
    </w:p>
    <w:p w:rsidR="0095019F" w:rsidRPr="005B71D7" w:rsidRDefault="0095019F" w:rsidP="0095019F">
      <w:pPr>
        <w:pStyle w:val="a3"/>
        <w:numPr>
          <w:ilvl w:val="0"/>
          <w:numId w:val="12"/>
        </w:numPr>
        <w:jc w:val="both"/>
        <w:rPr>
          <w:sz w:val="28"/>
        </w:rPr>
      </w:pPr>
      <w:r w:rsidRPr="005B71D7">
        <w:rPr>
          <w:sz w:val="28"/>
        </w:rPr>
        <w:t>количественные показатели (объём оцифровки в страницах или изданиях, число и посещаемость мероприятий, время подготовки и другие показатели);</w:t>
      </w:r>
    </w:p>
    <w:p w:rsidR="0095019F" w:rsidRPr="005B71D7" w:rsidRDefault="0095019F" w:rsidP="0095019F">
      <w:pPr>
        <w:pStyle w:val="a3"/>
        <w:numPr>
          <w:ilvl w:val="0"/>
          <w:numId w:val="12"/>
        </w:numPr>
        <w:jc w:val="both"/>
        <w:rPr>
          <w:sz w:val="28"/>
        </w:rPr>
      </w:pPr>
      <w:r w:rsidRPr="005B71D7">
        <w:rPr>
          <w:sz w:val="28"/>
        </w:rPr>
        <w:t>сведения о прошедших обучение сотрудниках;</w:t>
      </w:r>
    </w:p>
    <w:p w:rsidR="0095019F" w:rsidRPr="005B71D7" w:rsidRDefault="0095019F" w:rsidP="0095019F">
      <w:pPr>
        <w:pStyle w:val="a3"/>
        <w:numPr>
          <w:ilvl w:val="0"/>
          <w:numId w:val="12"/>
        </w:numPr>
        <w:jc w:val="both"/>
        <w:rPr>
          <w:sz w:val="28"/>
        </w:rPr>
      </w:pPr>
      <w:r w:rsidRPr="005B71D7">
        <w:rPr>
          <w:sz w:val="28"/>
        </w:rPr>
        <w:t>информацию о технических сбоях и времени доступности (</w:t>
      </w:r>
      <w:proofErr w:type="spellStart"/>
      <w:r w:rsidRPr="005B71D7">
        <w:rPr>
          <w:sz w:val="28"/>
        </w:rPr>
        <w:t>uptime</w:t>
      </w:r>
      <w:proofErr w:type="spellEnd"/>
      <w:r w:rsidRPr="005B71D7">
        <w:rPr>
          <w:sz w:val="28"/>
        </w:rPr>
        <w:t>) оборудования.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8.3. Для оценки эффективности Гранта по пилотным филиалам через 12–18 месяцев используются, в том числе, следующие ориентировочные показатели:</w:t>
      </w:r>
    </w:p>
    <w:p w:rsidR="0095019F" w:rsidRPr="005B71D7" w:rsidRDefault="0095019F" w:rsidP="0095019F">
      <w:pPr>
        <w:pStyle w:val="a3"/>
        <w:numPr>
          <w:ilvl w:val="0"/>
          <w:numId w:val="13"/>
        </w:numPr>
        <w:jc w:val="both"/>
        <w:rPr>
          <w:sz w:val="28"/>
        </w:rPr>
      </w:pPr>
      <w:r w:rsidRPr="005B71D7">
        <w:rPr>
          <w:sz w:val="28"/>
        </w:rPr>
        <w:t>увеличение объёма оцифровки (страниц или изданий) на 20–30 процентов;</w:t>
      </w:r>
    </w:p>
    <w:p w:rsidR="0095019F" w:rsidRPr="005B71D7" w:rsidRDefault="0095019F" w:rsidP="0095019F">
      <w:pPr>
        <w:pStyle w:val="a3"/>
        <w:numPr>
          <w:ilvl w:val="0"/>
          <w:numId w:val="13"/>
        </w:numPr>
        <w:jc w:val="both"/>
        <w:rPr>
          <w:sz w:val="28"/>
        </w:rPr>
      </w:pPr>
      <w:r w:rsidRPr="005B71D7">
        <w:rPr>
          <w:sz w:val="28"/>
        </w:rPr>
        <w:lastRenderedPageBreak/>
        <w:t>сокращение времени подготовки к мероприятиям на 15–25 процентов;</w:t>
      </w:r>
    </w:p>
    <w:p w:rsidR="0095019F" w:rsidRPr="005B71D7" w:rsidRDefault="0095019F" w:rsidP="0095019F">
      <w:pPr>
        <w:pStyle w:val="a3"/>
        <w:numPr>
          <w:ilvl w:val="0"/>
          <w:numId w:val="13"/>
        </w:numPr>
        <w:jc w:val="both"/>
        <w:rPr>
          <w:sz w:val="28"/>
        </w:rPr>
      </w:pPr>
      <w:r w:rsidRPr="005B71D7">
        <w:rPr>
          <w:sz w:val="28"/>
        </w:rPr>
        <w:t>достижение уровня доступности (</w:t>
      </w:r>
      <w:proofErr w:type="spellStart"/>
      <w:r w:rsidRPr="005B71D7">
        <w:rPr>
          <w:sz w:val="28"/>
        </w:rPr>
        <w:t>uptime</w:t>
      </w:r>
      <w:proofErr w:type="spellEnd"/>
      <w:r w:rsidRPr="005B71D7">
        <w:rPr>
          <w:sz w:val="28"/>
        </w:rPr>
        <w:t>) нового оборудования не ниже 90 процентов времени;</w:t>
      </w:r>
    </w:p>
    <w:p w:rsidR="0095019F" w:rsidRPr="005B71D7" w:rsidRDefault="0095019F" w:rsidP="0095019F">
      <w:pPr>
        <w:pStyle w:val="a3"/>
        <w:numPr>
          <w:ilvl w:val="0"/>
          <w:numId w:val="13"/>
        </w:numPr>
        <w:jc w:val="both"/>
        <w:rPr>
          <w:sz w:val="28"/>
        </w:rPr>
      </w:pPr>
      <w:r w:rsidRPr="005B71D7">
        <w:rPr>
          <w:sz w:val="28"/>
        </w:rPr>
        <w:t>рост среднего посещения мероприятий на 15–20 процентов;</w:t>
      </w:r>
    </w:p>
    <w:p w:rsidR="0095019F" w:rsidRPr="005B71D7" w:rsidRDefault="0095019F" w:rsidP="0095019F">
      <w:pPr>
        <w:pStyle w:val="a3"/>
        <w:numPr>
          <w:ilvl w:val="0"/>
          <w:numId w:val="13"/>
        </w:numPr>
        <w:jc w:val="both"/>
        <w:rPr>
          <w:sz w:val="28"/>
        </w:rPr>
      </w:pPr>
      <w:r w:rsidRPr="005B71D7">
        <w:rPr>
          <w:sz w:val="28"/>
        </w:rPr>
        <w:t>снижение количества жалоб посетителей на технические причины не менее чем на 20 процентов;</w:t>
      </w:r>
    </w:p>
    <w:p w:rsidR="0095019F" w:rsidRPr="005B71D7" w:rsidRDefault="0095019F" w:rsidP="0095019F">
      <w:pPr>
        <w:pStyle w:val="a3"/>
        <w:numPr>
          <w:ilvl w:val="0"/>
          <w:numId w:val="13"/>
        </w:numPr>
        <w:jc w:val="both"/>
        <w:rPr>
          <w:sz w:val="28"/>
        </w:rPr>
      </w:pPr>
      <w:r w:rsidRPr="005B71D7">
        <w:rPr>
          <w:sz w:val="28"/>
        </w:rPr>
        <w:t>доля сотрудников, прошедших обучение и подтвердивших навыки, не менее 80 процентов.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8.4. По итогам анализа отчётности и показателей эффективности допускается корректировка параметров Гранта, перечня допустимых затрат и конкурсных критериев.</w:t>
      </w:r>
    </w:p>
    <w:p w:rsidR="0095019F" w:rsidRPr="005B71D7" w:rsidRDefault="0095019F" w:rsidP="0095019F">
      <w:pPr>
        <w:jc w:val="both"/>
        <w:rPr>
          <w:sz w:val="24"/>
        </w:rPr>
      </w:pPr>
      <w:r w:rsidRPr="005B71D7">
        <w:rPr>
          <w:sz w:val="24"/>
        </w:rPr>
        <w:pict>
          <v:rect id="_x0000_i1101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9. Исполнители и координация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9.1. Общая координация реализации Гранта осуществляется Правительством Москвы.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9.2. Функции координатора программы выполняет Департамент культуры города Москвы.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9.3. Департамент информационных технологий города Москвы:</w:t>
      </w:r>
    </w:p>
    <w:p w:rsidR="0095019F" w:rsidRPr="005B71D7" w:rsidRDefault="0095019F" w:rsidP="0095019F">
      <w:pPr>
        <w:pStyle w:val="a3"/>
        <w:numPr>
          <w:ilvl w:val="0"/>
          <w:numId w:val="14"/>
        </w:numPr>
        <w:jc w:val="both"/>
        <w:rPr>
          <w:sz w:val="28"/>
        </w:rPr>
      </w:pPr>
      <w:r w:rsidRPr="005B71D7">
        <w:rPr>
          <w:sz w:val="28"/>
        </w:rPr>
        <w:t>участвует в разработке технических требований и стандартов;</w:t>
      </w:r>
    </w:p>
    <w:p w:rsidR="0095019F" w:rsidRPr="005B71D7" w:rsidRDefault="0095019F" w:rsidP="0095019F">
      <w:pPr>
        <w:pStyle w:val="a3"/>
        <w:numPr>
          <w:ilvl w:val="0"/>
          <w:numId w:val="14"/>
        </w:numPr>
        <w:jc w:val="both"/>
        <w:rPr>
          <w:sz w:val="28"/>
        </w:rPr>
      </w:pPr>
      <w:r w:rsidRPr="005B71D7">
        <w:rPr>
          <w:sz w:val="28"/>
        </w:rPr>
        <w:t>согласовывает решения по развитию ИТ-инфраструктуры и цифровых сервисов.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9.4. Департамент финансов города Москвы обеспечивает финансирование Гранта в пределах бюджетных ассигнований.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9.5. ГБУ-заказчики осуществляют закупки, заключение контрактов, организацию поставок и сервисного обслуживания оборудования.</w:t>
      </w:r>
    </w:p>
    <w:p w:rsidR="0095019F" w:rsidRPr="005B71D7" w:rsidRDefault="0095019F" w:rsidP="0095019F">
      <w:pPr>
        <w:jc w:val="both"/>
        <w:rPr>
          <w:sz w:val="24"/>
        </w:rPr>
      </w:pPr>
      <w:r w:rsidRPr="005B71D7">
        <w:rPr>
          <w:sz w:val="24"/>
        </w:rPr>
        <w:pict>
          <v:rect id="_x0000_i1102" style="width:0;height:1.5pt" o:hralign="center" o:hrstd="t" o:hr="t" fillcolor="#a0a0a0" stroked="f"/>
        </w:pict>
      </w:r>
    </w:p>
    <w:p w:rsidR="0095019F" w:rsidRPr="005B71D7" w:rsidRDefault="0095019F" w:rsidP="0095019F">
      <w:pPr>
        <w:pStyle w:val="3"/>
        <w:jc w:val="both"/>
        <w:rPr>
          <w:sz w:val="28"/>
        </w:rPr>
      </w:pPr>
      <w:r w:rsidRPr="005B71D7">
        <w:rPr>
          <w:sz w:val="28"/>
        </w:rPr>
        <w:t>10. Заключительные положения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>10.1. Настоящее Положение вступает в силу с даты утверждения соответствующим нормативным правовым актом Правительства Москвы.</w:t>
      </w:r>
    </w:p>
    <w:p w:rsidR="0095019F" w:rsidRPr="005B71D7" w:rsidRDefault="0095019F" w:rsidP="0095019F">
      <w:pPr>
        <w:pStyle w:val="a3"/>
        <w:jc w:val="both"/>
        <w:rPr>
          <w:sz w:val="28"/>
        </w:rPr>
      </w:pPr>
      <w:r w:rsidRPr="005B71D7">
        <w:rPr>
          <w:sz w:val="28"/>
        </w:rPr>
        <w:t xml:space="preserve">10.2. Изменения в настоящее Положение вносятся в установленном порядке на основании предложений Департамента культуры города Москвы, Департамента информационных технологий города Москвы, Департамента </w:t>
      </w:r>
      <w:r w:rsidRPr="005B71D7">
        <w:rPr>
          <w:sz w:val="28"/>
        </w:rPr>
        <w:lastRenderedPageBreak/>
        <w:t>финансов города Москвы и иных заинтересованных органов исполнительной власти.</w:t>
      </w:r>
    </w:p>
    <w:p w:rsidR="00B445B7" w:rsidRPr="005B71D7" w:rsidRDefault="00B445B7" w:rsidP="0095019F">
      <w:pPr>
        <w:jc w:val="both"/>
        <w:rPr>
          <w:sz w:val="24"/>
        </w:rPr>
      </w:pPr>
    </w:p>
    <w:sectPr w:rsidR="00B445B7" w:rsidRPr="005B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6672"/>
    <w:multiLevelType w:val="multilevel"/>
    <w:tmpl w:val="F98A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64108"/>
    <w:multiLevelType w:val="multilevel"/>
    <w:tmpl w:val="364C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51A10"/>
    <w:multiLevelType w:val="multilevel"/>
    <w:tmpl w:val="FBFC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E78AE"/>
    <w:multiLevelType w:val="multilevel"/>
    <w:tmpl w:val="10D0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41EA3"/>
    <w:multiLevelType w:val="multilevel"/>
    <w:tmpl w:val="19B0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F1FB2"/>
    <w:multiLevelType w:val="multilevel"/>
    <w:tmpl w:val="4CCE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D41BB7"/>
    <w:multiLevelType w:val="multilevel"/>
    <w:tmpl w:val="E35A7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B1BD0"/>
    <w:multiLevelType w:val="multilevel"/>
    <w:tmpl w:val="620C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94439"/>
    <w:multiLevelType w:val="multilevel"/>
    <w:tmpl w:val="FED8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AA0529"/>
    <w:multiLevelType w:val="multilevel"/>
    <w:tmpl w:val="583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3C3A27"/>
    <w:multiLevelType w:val="multilevel"/>
    <w:tmpl w:val="6BD4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B5B1E"/>
    <w:multiLevelType w:val="multilevel"/>
    <w:tmpl w:val="9EFA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8122D4"/>
    <w:multiLevelType w:val="multilevel"/>
    <w:tmpl w:val="8CE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85131B"/>
    <w:multiLevelType w:val="multilevel"/>
    <w:tmpl w:val="4E68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2"/>
  </w:num>
  <w:num w:numId="5">
    <w:abstractNumId w:val="13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11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9F"/>
    <w:rsid w:val="005B71D7"/>
    <w:rsid w:val="0095019F"/>
    <w:rsid w:val="00B4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B1AD"/>
  <w15:chartTrackingRefBased/>
  <w15:docId w15:val="{2BDCD85F-B6DB-4174-A428-53DCCB44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501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01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1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2025-12-04T11:39:00Z</dcterms:created>
  <dcterms:modified xsi:type="dcterms:W3CDTF">2025-12-04T11:53:00Z</dcterms:modified>
</cp:coreProperties>
</file>