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cstheme="minorHAnsi"/>
          <w:b/>
          <w:sz w:val="28"/>
          <w:szCs w:val="28"/>
        </w:rPr>
        <w:t>1. Автоматическое внесение данных гражданина в Регистр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>Человек, у которого идентифицировано одно из состояний, упомянутых в ст.8 Постановления Правительства №822 от 31.05.25 не может никак повлиять на то, как его персональные данные попадают в данный Регистр, поскольку в п.9 сказано: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ind w:left="708" w:right="0" w:hanging="0"/>
        <w:rPr>
          <w:rFonts w:ascii="Arial" w:hAnsi="Arial" w:cs="Arial" w:asciiTheme="minorHAnsi" w:cstheme="minorHAnsi" w:hAnsiTheme="minorHAnsi"/>
          <w:i/>
          <w:i/>
          <w:iCs/>
          <w:color w:val="333333"/>
        </w:rPr>
      </w:pPr>
      <w:r>
        <w:rPr>
          <w:rFonts w:cs="Arial" w:ascii="Arial" w:hAnsi="Arial" w:asciiTheme="minorHAnsi" w:cstheme="minorHAnsi" w:hAnsiTheme="minorHAnsi"/>
          <w:i/>
          <w:iCs/>
          <w:color w:val="333333"/>
        </w:rPr>
        <w:t xml:space="preserve"> </w:t>
      </w:r>
      <w:r>
        <w:rPr>
          <w:rFonts w:cs="Arial" w:ascii="Arial" w:hAnsi="Arial" w:asciiTheme="minorHAnsi" w:cstheme="minorHAnsi" w:hAnsiTheme="minorHAnsi"/>
          <w:i/>
          <w:iCs/>
          <w:color w:val="333333"/>
        </w:rPr>
        <w:t>«9. Запись регистра формируется в случае выявления у пациента заболеваний и (или) состояний, указанных в </w:t>
      </w:r>
      <w:r>
        <w:rPr>
          <w:rFonts w:cs="Arial" w:ascii="Arial" w:hAnsi="Arial" w:asciiTheme="minorHAnsi" w:cstheme="minorHAnsi" w:hAnsiTheme="minorHAnsi"/>
          <w:i/>
          <w:iCs/>
        </w:rPr>
        <w:t>пункте 8</w:t>
      </w:r>
      <w:r>
        <w:rPr>
          <w:rFonts w:cs="Arial" w:ascii="Arial" w:hAnsi="Arial" w:asciiTheme="minorHAnsi" w:cstheme="minorHAnsi" w:hAnsiTheme="minorHAnsi"/>
          <w:i/>
          <w:iCs/>
          <w:color w:val="333333"/>
        </w:rPr>
        <w:t> настоящих Правил»…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То есть любой человек, который обратился за помощью к врачу по вышеперечисленным поводам –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автоматически</w:t>
      </w:r>
      <w:r>
        <w:rPr>
          <w:rFonts w:cs="Arial" w:ascii="Arial" w:hAnsi="Arial" w:asciiTheme="minorHAnsi" w:cstheme="minorHAnsi" w:hAnsiTheme="minorHAnsi"/>
          <w:color w:val="333333"/>
        </w:rPr>
        <w:t xml:space="preserve"> попадает в Регистр, без его согласия – и даже без уведомления. Это явное нарушение Конституции, законна о врачебной тайне, закона 152-ФЗ о персональных данных: все эти законодательные акты требуют согласия гражданина на сбор подобных данных о нём.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b/>
          <w:b/>
          <w:bCs/>
          <w:color w:val="333333"/>
          <w:sz w:val="28"/>
          <w:szCs w:val="28"/>
        </w:rPr>
      </w:pPr>
      <w:r>
        <w:rPr>
          <w:rFonts w:cs="Arial" w:ascii="Arial" w:hAnsi="Arial" w:asciiTheme="minorHAnsi" w:cstheme="minorHAnsi" w:hAnsiTheme="minorHAnsi"/>
          <w:b/>
          <w:bCs/>
          <w:color w:val="333333"/>
          <w:sz w:val="28"/>
          <w:szCs w:val="28"/>
        </w:rPr>
        <w:t>2. Невозможность исключить свои данные из Регистра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>Гражданин не может исключить данные из Регистра ни в каком случае – ни в случае врачебной или технической ошибки, которая привела к попаданию в Регистр, ни в случае снятия диагноза. Там же: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ind w:left="0" w:right="0" w:firstLine="708"/>
        <w:rPr>
          <w:rFonts w:ascii="Arial" w:hAnsi="Arial" w:cs="Arial" w:asciiTheme="minorHAnsi" w:cstheme="minorHAnsi" w:hAnsiTheme="minorHAnsi"/>
          <w:i/>
          <w:i/>
          <w:iCs/>
          <w:color w:val="333333"/>
        </w:rPr>
      </w:pPr>
      <w:r>
        <w:rPr>
          <w:rFonts w:cs="Arial" w:ascii="Arial" w:hAnsi="Arial" w:asciiTheme="minorHAnsi" w:cstheme="minorHAnsi" w:hAnsiTheme="minorHAnsi"/>
          <w:i/>
          <w:iCs/>
          <w:color w:val="333333"/>
        </w:rPr>
        <w:t>«Исключение записей из регистра не предусмотрено».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Данные вносятся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без согласия пациента и</w:t>
      </w:r>
      <w:r>
        <w:rPr>
          <w:rFonts w:cs="Arial" w:ascii="Arial" w:hAnsi="Arial" w:asciiTheme="minorHAnsi" w:cstheme="minorHAnsi" w:hAnsiTheme="minorHAnsi"/>
          <w:color w:val="333333"/>
        </w:rPr>
        <w:t xml:space="preserve">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навечно</w:t>
      </w:r>
      <w:r>
        <w:rPr>
          <w:rFonts w:cs="Arial" w:ascii="Arial" w:hAnsi="Arial" w:asciiTheme="minorHAnsi" w:cstheme="minorHAnsi" w:hAnsiTheme="minorHAnsi"/>
          <w:color w:val="333333"/>
        </w:rPr>
        <w:t xml:space="preserve">, так как процедура исключения записи из Регистра не существует и не планируется. При этом механизма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оспаривания</w:t>
      </w:r>
      <w:r>
        <w:rPr>
          <w:rFonts w:cs="Arial" w:ascii="Arial" w:hAnsi="Arial" w:asciiTheme="minorHAnsi" w:cstheme="minorHAnsi" w:hAnsiTheme="minorHAnsi"/>
          <w:color w:val="333333"/>
        </w:rPr>
        <w:t xml:space="preserve"> подобного ущемления в правах путём внесения записи в Регистр, по сути, кем попало (врачом, сотрудников регистратуры и т.п.) – в Постановлении также не предусмотрено.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>Людей беспокоит, что некоторые состояния излечимы или преходящи (беременность или временные психические отклонения), но запись в Регистре будет сохраняться навсегда, и после исчезновения данного состояния. Зачем? Кто будет определять степень и уровень опасности болезни при передаче этих данных в МВД, например?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b/>
          <w:b/>
          <w:bCs/>
          <w:color w:val="333333"/>
          <w:sz w:val="28"/>
          <w:szCs w:val="28"/>
        </w:rPr>
      </w:pPr>
      <w:r>
        <w:rPr>
          <w:rFonts w:cs="Arial" w:ascii="Arial" w:hAnsi="Arial" w:asciiTheme="minorHAnsi" w:cstheme="minorHAnsi" w:hAnsiTheme="minorHAnsi"/>
          <w:b/>
          <w:bCs/>
          <w:color w:val="333333"/>
          <w:sz w:val="28"/>
          <w:szCs w:val="28"/>
        </w:rPr>
        <w:t>3. Нечёткие основания для внесения данных гражданина в Регистр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Для внесения человека в Регистр не обязательно страдать одной из вышеуказанных болезней. Достаточно иметь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предположения врачей</w:t>
      </w:r>
      <w:r>
        <w:rPr>
          <w:rFonts w:cs="Arial" w:ascii="Arial" w:hAnsi="Arial" w:asciiTheme="minorHAnsi" w:cstheme="minorHAnsi" w:hAnsiTheme="minorHAnsi"/>
          <w:color w:val="333333"/>
        </w:rPr>
        <w:t xml:space="preserve"> о наличии заболевания. </w:t>
      </w:r>
      <w:r>
        <w:rPr>
          <w:rFonts w:cs="Arial" w:ascii="Arial" w:hAnsi="Arial" w:asciiTheme="minorHAnsi" w:cstheme="minorHAnsi" w:hAnsiTheme="minorHAnsi"/>
          <w:bCs/>
          <w:color w:val="333333"/>
        </w:rPr>
        <w:t>Например, ч</w:t>
      </w:r>
      <w:r>
        <w:rPr>
          <w:rFonts w:cs="Arial" w:ascii="Arial" w:hAnsi="Arial" w:asciiTheme="minorHAnsi" w:cstheme="minorHAnsi" w:hAnsiTheme="minorHAnsi"/>
          <w:color w:val="333333"/>
        </w:rPr>
        <w:t>тобы гражданин оказался в Регистре как носитель психического заболевания, достаточно, чтобы операторами Регистра были установлены следующие «факты»: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ind w:left="708" w:right="0" w:hanging="0"/>
        <w:rPr>
          <w:rFonts w:ascii="Arial" w:hAnsi="Arial" w:cs="Arial" w:asciiTheme="minorHAnsi" w:cstheme="minorHAnsi" w:hAnsiTheme="minorHAnsi"/>
          <w:i/>
          <w:i/>
          <w:iCs/>
          <w:color w:val="333333"/>
        </w:rPr>
      </w:pPr>
      <w:r>
        <w:rPr>
          <w:rFonts w:cs="Arial" w:ascii="Arial" w:hAnsi="Arial" w:asciiTheme="minorHAnsi" w:cstheme="minorHAnsi" w:hAnsiTheme="minorHAnsi"/>
          <w:i/>
          <w:iCs/>
          <w:color w:val="333333"/>
        </w:rPr>
        <w:t>«</w:t>
      </w:r>
      <w:r>
        <w:rPr>
          <w:rFonts w:cs="Arial" w:ascii="Arial" w:hAnsi="Arial" w:asciiTheme="minorHAnsi" w:cstheme="minorHAnsi" w:hAnsiTheme="minorHAnsi"/>
          <w:i/>
          <w:iCs/>
          <w:color w:val="333333"/>
          <w:shd w:fill="FFFFFF" w:val="clear"/>
        </w:rPr>
        <w:t>Факт проведения пациенту патопсихологического исследования (с указанием даты проведения и результатов такого исследования)</w:t>
      </w:r>
      <w:r>
        <w:rPr>
          <w:rFonts w:cs="Arial" w:ascii="Arial" w:hAnsi="Arial" w:asciiTheme="minorHAnsi" w:cstheme="minorHAnsi" w:hAnsiTheme="minorHAnsi"/>
          <w:i/>
          <w:iCs/>
          <w:color w:val="333333"/>
        </w:rPr>
        <w:t>» или «</w:t>
      </w:r>
      <w:r>
        <w:rPr>
          <w:rFonts w:cs="Arial" w:ascii="Arial" w:hAnsi="Arial" w:asciiTheme="minorHAnsi" w:cstheme="minorHAnsi" w:hAnsiTheme="minorHAnsi"/>
          <w:i/>
          <w:iCs/>
          <w:color w:val="333333"/>
          <w:shd w:fill="FFFFFF" w:val="clear"/>
        </w:rPr>
        <w:t>Факт наличия у пациента суицидальных мыслей и намерений…</w:t>
      </w:r>
      <w:r>
        <w:rPr>
          <w:rFonts w:cs="Arial" w:ascii="Arial" w:hAnsi="Arial" w:asciiTheme="minorHAnsi" w:cstheme="minorHAnsi" w:hAnsiTheme="minorHAnsi"/>
          <w:i/>
          <w:iCs/>
          <w:color w:val="333333"/>
        </w:rPr>
        <w:t>»…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b/>
          <w:b/>
          <w:bCs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То есть,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 xml:space="preserve">гражданин, имевший неосторожность </w:t>
      </w:r>
      <w:r>
        <w:rPr>
          <w:rFonts w:cs="Arial" w:ascii="Arial" w:hAnsi="Arial" w:asciiTheme="minorHAnsi" w:cstheme="minorHAnsi" w:hAnsiTheme="minorHAnsi"/>
          <w:b/>
          <w:color w:val="333333"/>
        </w:rPr>
        <w:t>обрати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 xml:space="preserve">ться </w:t>
      </w:r>
      <w:r>
        <w:rPr>
          <w:rFonts w:cs="Arial" w:ascii="Arial" w:hAnsi="Arial" w:asciiTheme="minorHAnsi" w:cstheme="minorHAnsi" w:hAnsiTheme="minorHAnsi"/>
          <w:b/>
          <w:color w:val="333333"/>
        </w:rPr>
        <w:t>к врачу</w:t>
      </w:r>
      <w:r>
        <w:rPr>
          <w:rFonts w:cs="Arial" w:ascii="Arial" w:hAnsi="Arial" w:asciiTheme="minorHAnsi" w:cstheme="minorHAnsi" w:hAnsiTheme="minorHAnsi"/>
          <w:color w:val="333333"/>
        </w:rPr>
        <w:t xml:space="preserve">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 xml:space="preserve">с просьбой об исследовании или поделиться тем, что у него бывают плохие мысли </w:t>
      </w:r>
      <w:r>
        <w:rPr>
          <w:rFonts w:cs="Arial" w:ascii="Arial" w:hAnsi="Arial" w:asciiTheme="minorHAnsi" w:cstheme="minorHAnsi" w:hAnsiTheme="minorHAnsi"/>
          <w:color w:val="333333"/>
        </w:rPr>
        <w:t xml:space="preserve">–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 xml:space="preserve">автоматически причисляется к </w:t>
      </w:r>
      <w:r>
        <w:rPr>
          <w:rFonts w:cs="Arial" w:ascii="Arial" w:hAnsi="Arial" w:asciiTheme="minorHAnsi" w:cstheme="minorHAnsi" w:hAnsiTheme="minorHAnsi"/>
          <w:b/>
          <w:color w:val="333333"/>
        </w:rPr>
        <w:t>псих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опатам</w:t>
      </w:r>
      <w:r>
        <w:rPr>
          <w:rStyle w:val="FootnoteCharacters"/>
          <w:rStyle w:val="Style6"/>
          <w:rFonts w:cs="Arial" w:ascii="Arial" w:hAnsi="Arial" w:asciiTheme="minorHAnsi" w:cstheme="minorHAnsi" w:hAnsiTheme="minorHAnsi"/>
          <w:b/>
          <w:bCs/>
          <w:color w:val="333333"/>
        </w:rPr>
        <w:footnoteReference w:id="2"/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 xml:space="preserve"> в федеральной базе данных. Навсегда.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Регистром не предусмотрены процедуры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проверки</w:t>
      </w:r>
      <w:r>
        <w:rPr>
          <w:rFonts w:cs="Arial" w:ascii="Arial" w:hAnsi="Arial" w:asciiTheme="minorHAnsi" w:cstheme="minorHAnsi" w:hAnsiTheme="minorHAnsi"/>
          <w:color w:val="333333"/>
        </w:rPr>
        <w:t xml:space="preserve">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достоверности</w:t>
      </w:r>
      <w:r>
        <w:rPr>
          <w:rFonts w:cs="Arial" w:ascii="Arial" w:hAnsi="Arial" w:asciiTheme="minorHAnsi" w:cstheme="minorHAnsi" w:hAnsiTheme="minorHAnsi"/>
          <w:color w:val="333333"/>
        </w:rPr>
        <w:t xml:space="preserve">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данных</w:t>
      </w:r>
      <w:r>
        <w:rPr>
          <w:rFonts w:cs="Arial" w:ascii="Arial" w:hAnsi="Arial" w:asciiTheme="minorHAnsi" w:cstheme="minorHAnsi" w:hAnsiTheme="minorHAnsi"/>
          <w:color w:val="333333"/>
        </w:rPr>
        <w:t xml:space="preserve"> и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 xml:space="preserve">ответственность за внесение ложных сведений в Регистр. </w:t>
      </w:r>
      <w:r>
        <w:rPr>
          <w:rFonts w:cs="Arial" w:ascii="Arial" w:hAnsi="Arial" w:asciiTheme="minorHAnsi" w:cstheme="minorHAnsi" w:hAnsiTheme="minorHAnsi"/>
          <w:color w:val="333333"/>
        </w:rPr>
        <w:t xml:space="preserve">Граждане полагают, что это позволит нечестным врачам или системным администраторам, имеющим технический доступ к внесению данных, создавать проблемы своим врагам, карьерным или личным конкурентам из мести, или брать деньги за фальсификацию сведений. </w:t>
      </w:r>
    </w:p>
    <w:p>
      <w:pPr>
        <w:pStyle w:val="3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b/>
          <w:b/>
          <w:bCs/>
          <w:color w:val="333333"/>
          <w:sz w:val="28"/>
          <w:szCs w:val="28"/>
        </w:rPr>
      </w:pPr>
      <w:r>
        <w:rPr>
          <w:rFonts w:cs="Arial" w:cstheme="minorHAnsi"/>
          <w:b/>
          <w:bCs/>
          <w:color w:val="333333"/>
          <w:sz w:val="28"/>
          <w:szCs w:val="28"/>
        </w:rPr>
        <w:t>4. Передача чувствительной информации широкому кругу лиц. Незащищённость персональных данных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b/>
          <w:b/>
          <w:bCs/>
          <w:color w:val="333333"/>
        </w:rPr>
      </w:pPr>
      <w:r>
        <w:rPr>
          <w:rFonts w:cs="Arial" w:ascii="Arial" w:hAnsi="Arial" w:asciiTheme="minorHAnsi" w:cstheme="minorHAnsi" w:hAnsiTheme="minorHAnsi"/>
          <w:bCs/>
          <w:color w:val="333333"/>
        </w:rPr>
        <w:t xml:space="preserve">Это – самая важная причина, по которой граждане опасаются передавать данные в Регистр. Согласно Разделу 20 Постановления, доступ к системе будет предоставлен различным ведомствам, включая: </w:t>
      </w:r>
      <w:r>
        <w:rPr>
          <w:rFonts w:cs="Arial" w:ascii="Arial" w:hAnsi="Arial" w:asciiTheme="minorHAnsi" w:cstheme="minorHAnsi" w:hAnsiTheme="minorHAnsi"/>
          <w:color w:val="333333"/>
        </w:rPr>
        <w:t>Росздравнадзор (</w:t>
      </w:r>
      <w:r>
        <w:rPr>
          <w:rFonts w:cs="Arial" w:ascii="Arial" w:hAnsi="Arial" w:asciiTheme="minorHAnsi" w:cstheme="minorHAnsi" w:hAnsiTheme="minorHAnsi"/>
        </w:rPr>
        <w:t>деперсонифицированные данные),</w:t>
      </w:r>
      <w:r>
        <w:rPr>
          <w:rFonts w:cs="Arial" w:ascii="Arial" w:hAnsi="Arial" w:asciiTheme="minorHAnsi" w:cstheme="minorHAnsi" w:hAnsiTheme="minorHAnsi"/>
          <w:color w:val="333333"/>
        </w:rPr>
        <w:t xml:space="preserve"> Минздрав России, </w:t>
      </w:r>
      <w:r>
        <w:rPr>
          <w:rFonts w:cs="Arial" w:ascii="Arial" w:hAnsi="Arial" w:asciiTheme="minorHAnsi" w:cstheme="minorHAnsi" w:hAnsiTheme="minorHAnsi"/>
          <w:b/>
          <w:color w:val="333333"/>
        </w:rPr>
        <w:t>МВД России</w:t>
      </w:r>
      <w:r>
        <w:rPr>
          <w:rFonts w:cs="Arial" w:ascii="Arial" w:hAnsi="Arial" w:asciiTheme="minorHAnsi" w:cstheme="minorHAnsi" w:hAnsiTheme="minorHAnsi"/>
          <w:color w:val="333333"/>
        </w:rPr>
        <w:t>, медицинские и фармацевтические компании (последние – с согласия пациента), и другие.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bCs/>
          <w:color w:val="333333"/>
        </w:rPr>
      </w:pPr>
      <w:r>
        <w:rPr>
          <w:rFonts w:cs="Arial" w:ascii="Arial" w:hAnsi="Arial" w:asciiTheme="minorHAnsi" w:cstheme="minorHAnsi" w:hAnsiTheme="minorHAnsi"/>
          <w:bCs/>
          <w:color w:val="333333"/>
        </w:rPr>
        <w:t xml:space="preserve">Людей беспокоит, что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доступ к интимным медицинским данным граждан получит широкий круг лиц, не связанных медицинской и врачебной тайной</w:t>
      </w:r>
      <w:r>
        <w:rPr>
          <w:rFonts w:cs="Arial" w:ascii="Arial" w:hAnsi="Arial" w:asciiTheme="minorHAnsi" w:cstheme="minorHAnsi" w:hAnsiTheme="minorHAnsi"/>
          <w:bCs/>
          <w:color w:val="333333"/>
        </w:rPr>
        <w:t xml:space="preserve">, присягой, формой секретности – включая системных администраторов, клерков, чиновников Минздрава, МВД и других. Ни у кого из читателей не возникло сомнений, что базу защитить не удастся, и данные будут слиты мошенникам, вербовщикам, прямым врагам Российской Федерации. 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ind w:left="708" w:right="0" w:hanging="0"/>
        <w:rPr>
          <w:rFonts w:ascii="Arial" w:hAnsi="Arial" w:cs="Arial" w:asciiTheme="minorHAnsi" w:cstheme="minorHAnsi" w:hAnsiTheme="minorHAnsi"/>
          <w:bCs/>
          <w:i/>
          <w:i/>
          <w:color w:val="333333"/>
        </w:rPr>
      </w:pPr>
      <w:r>
        <w:rPr>
          <w:rFonts w:cs="Arial" w:ascii="Arial" w:hAnsi="Arial" w:asciiTheme="minorHAnsi" w:cstheme="minorHAnsi" w:hAnsiTheme="minorHAnsi"/>
          <w:bCs/>
          <w:i/>
          <w:color w:val="333333"/>
        </w:rPr>
        <w:t>К сожалению, статистика исследований утечек данных за прошлые годы этот тренд подтверждает. За 2024 год в РФ произошло  879 крупных (более 100 записей ПДн) утечек данных, а всего украдено более 1,6 млрд записей персональных данных граждан РФ</w:t>
      </w:r>
      <w:r>
        <w:rPr>
          <w:rStyle w:val="FootnoteCharacters"/>
          <w:rStyle w:val="Style6"/>
          <w:rFonts w:cs="Arial" w:ascii="Arial" w:hAnsi="Arial" w:asciiTheme="minorHAnsi" w:cstheme="minorHAnsi" w:hAnsiTheme="minorHAnsi"/>
          <w:bCs/>
          <w:i/>
          <w:color w:val="333333"/>
        </w:rPr>
        <w:footnoteReference w:id="3"/>
      </w:r>
      <w:r>
        <w:rPr>
          <w:rFonts w:cs="Arial" w:ascii="Arial" w:hAnsi="Arial" w:asciiTheme="minorHAnsi" w:cstheme="minorHAnsi" w:hAnsiTheme="minorHAnsi"/>
          <w:bCs/>
          <w:i/>
          <w:color w:val="333333"/>
        </w:rPr>
        <w:t xml:space="preserve">. Это в десять раз больше населения России! За прошлый год было украдено более 1,3 млрд записей персональных данных россиян. 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ind w:left="708" w:right="0" w:hanging="0"/>
        <w:rPr>
          <w:rFonts w:ascii="Arial" w:hAnsi="Arial" w:cs="Arial" w:asciiTheme="minorHAnsi" w:cstheme="minorHAnsi" w:hAnsiTheme="minorHAnsi"/>
          <w:bCs/>
          <w:i/>
          <w:i/>
          <w:color w:val="333333"/>
        </w:rPr>
      </w:pPr>
      <w:r>
        <w:rPr>
          <w:rFonts w:cs="Arial" w:ascii="Arial" w:hAnsi="Arial" w:asciiTheme="minorHAnsi" w:cstheme="minorHAnsi" w:hAnsiTheme="minorHAnsi"/>
          <w:bCs/>
          <w:i/>
          <w:color w:val="333333"/>
        </w:rPr>
        <w:t>Персональные данные граждан активно используют мошенники. В 2024 году, согласно официальным данным МВД, мошенники выудили у граждан РФ более 200 млрд рублей, а в 2025 году эта цифра достигла 300 млрд рублей (1 миллиард рублей в день!). Вербовщики «кухонных террористов» в России организовывают сотни терактов в год, строя первичные контакты со своими жертвами на основе их персональных данных.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bCs/>
          <w:i/>
          <w:i/>
          <w:color w:val="333333"/>
        </w:rPr>
      </w:pPr>
      <w:r>
        <w:rPr>
          <w:rFonts w:cs="Arial" w:ascii="Arial" w:hAnsi="Arial" w:asciiTheme="minorHAnsi" w:cstheme="minorHAnsi" w:hAnsiTheme="minorHAnsi"/>
          <w:bCs/>
          <w:color w:val="333333"/>
        </w:rPr>
        <w:t xml:space="preserve">Постановление Правительства №822 от 31.05.25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не предусматривает никаких дополнительных мер по предотвращению утечки сверхчувствительных медицинских данных о гражданах</w:t>
      </w:r>
      <w:r>
        <w:rPr>
          <w:rFonts w:cs="Arial" w:ascii="Arial" w:hAnsi="Arial" w:asciiTheme="minorHAnsi" w:cstheme="minorHAnsi" w:hAnsiTheme="minorHAnsi"/>
          <w:bCs/>
          <w:color w:val="333333"/>
        </w:rPr>
        <w:t>.</w:t>
      </w:r>
      <w:r>
        <w:rPr>
          <w:rFonts w:cs="Arial" w:ascii="Arial" w:hAnsi="Arial" w:asciiTheme="minorHAnsi" w:cstheme="minorHAnsi" w:hAnsiTheme="minorHAnsi"/>
          <w:bCs/>
          <w:i/>
          <w:color w:val="333333"/>
        </w:rPr>
        <w:t xml:space="preserve"> </w:t>
      </w:r>
      <w:r>
        <w:rPr>
          <w:rFonts w:cs="Arial" w:ascii="Arial" w:hAnsi="Arial" w:asciiTheme="minorHAnsi" w:cstheme="minorHAnsi" w:hAnsiTheme="minorHAnsi"/>
          <w:bCs/>
          <w:color w:val="333333"/>
        </w:rPr>
        <w:t>Предоставление МВД и другим ведомствам дополнительных данных о здоровье граждан повысит ценность этих данных для мошенников и вербовщиков. В этом сходятся все голосовавшие и комментировавшие опрос пользователи</w:t>
      </w:r>
      <w:r>
        <w:rPr>
          <w:rFonts w:cs="Arial" w:ascii="Arial" w:hAnsi="Arial" w:asciiTheme="minorHAnsi" w:cstheme="minorHAnsi" w:hAnsiTheme="minorHAnsi"/>
          <w:bCs/>
          <w:i/>
          <w:color w:val="333333"/>
        </w:rPr>
        <w:t xml:space="preserve">. 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b/>
          <w:b/>
          <w:color w:val="333333"/>
          <w:sz w:val="28"/>
          <w:szCs w:val="28"/>
        </w:rPr>
      </w:pPr>
      <w:r>
        <w:rPr>
          <w:rFonts w:cs="Arial" w:ascii="Arial" w:hAnsi="Arial" w:asciiTheme="minorHAnsi" w:cstheme="minorHAnsi" w:hAnsiTheme="minorHAnsi"/>
          <w:b/>
          <w:color w:val="333333"/>
          <w:sz w:val="28"/>
          <w:szCs w:val="28"/>
        </w:rPr>
        <w:t>5. Нарушение тайны частной жизни, Конституции и законодательства РФ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>По практически единодушному мнению читателей блога (среди которых есть юристы), подобное принудительное внесение данных гражданина в Регистр с возможностью передачи этой  сверхчувствительной информации о человеке широкому кругу лиц, нарушает следующие законы Российской Федерации: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270" w:beforeAutospacing="0" w:before="0" w:afterAutospacing="0" w:after="0"/>
        <w:ind w:left="714" w:right="0" w:hanging="357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>ФЗ-152 «О защите персональных данных» – ст. 5 и 6.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270" w:beforeAutospacing="0" w:before="0" w:afterAutospacing="0" w:after="0"/>
        <w:ind w:left="714" w:right="0" w:hanging="357"/>
        <w:rPr>
          <w:rFonts w:ascii="Arial" w:hAnsi="Arial" w:cs="Arial" w:asciiTheme="minorHAnsi" w:cstheme="minorHAnsi" w:hAnsiTheme="minorHAnsi"/>
          <w:b/>
          <w:b/>
        </w:rPr>
      </w:pPr>
      <w:r>
        <w:rPr>
          <w:rFonts w:cs="Arial" w:ascii="Arial" w:hAnsi="Arial" w:asciiTheme="minorHAnsi" w:cstheme="minorHAnsi" w:hAnsiTheme="minorHAnsi"/>
          <w:bCs/>
        </w:rPr>
        <w:t>ФЗ-323 от 21.11.2011 «Об основах охраны здоровья граждан в Российской Федерации», регулирующий вопросы, связанные с врачебной тайной.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>Конституция РФ глава 2 «Права и свободы личности» – ст. 22,23, 24.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Особенно абсурдным введение данного Регистра выглядит с учётом принятых Госдумой в 2024 году поправок в ФЗ-152, ужесточающих санкции за утечку персональных данных. </w:t>
      </w:r>
    </w:p>
    <w:p>
      <w:pPr>
        <w:pStyle w:val="3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b/>
          <w:b/>
          <w:bCs/>
          <w:color w:val="333333"/>
          <w:sz w:val="28"/>
          <w:szCs w:val="28"/>
        </w:rPr>
      </w:pPr>
      <w:r>
        <w:rPr>
          <w:rFonts w:cs="Arial" w:cstheme="minorHAnsi"/>
          <w:b/>
          <w:bCs/>
          <w:color w:val="333333"/>
          <w:sz w:val="28"/>
          <w:szCs w:val="28"/>
        </w:rPr>
        <w:t>6. Широкие возможности для злоупотреблений и давления на уязвимые категории населения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>В Регистр могут попасть люди по недомыслию врача, клерка поликлиники, по ошибке или в результате злонамеренных действий. Например, подростков, у которых часто в период полового созревания бывают суицидальные мысли, смогут массово вносить в Регистр, как пациентов с психическими расстройствами – по сути, с постановкой на них клейма на всю жизнь.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Попадание в Регистр настолько пугает граждан, что 53% опрошенных предпочтут вовсе не обращаться к врачу, чем попасть в Регистр. При этом статистика последних лет подтверждает снижение числа обращений граждан в медицинские учреждения по поводу психических расстройств, хотя меньше расстройств –не становится. То есть люди и так боятся идти к врачам, а сейчас – тем более, так что часть граждан, нуждающихся в медицинской помощи, останется без неё.  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b/>
          <w:b/>
          <w:bCs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Люди видят риски в том, что онкологическим больным начнут массово продавать разные «чудодейственные» средства от рака, ведь согласно Постановлению информация об их заболевании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будет передаваться, в том числе, фармацевтическим компаниям,</w:t>
      </w:r>
      <w:r>
        <w:rPr>
          <w:rFonts w:cs="Arial" w:ascii="Arial" w:hAnsi="Arial" w:asciiTheme="minorHAnsi" w:cstheme="minorHAnsi" w:hAnsiTheme="minorHAnsi"/>
          <w:color w:val="333333"/>
        </w:rPr>
        <w:t xml:space="preserve"> откуда она также будет утекать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.</w:t>
      </w:r>
      <w:r>
        <w:rPr>
          <w:rFonts w:cs="Arial" w:ascii="Arial" w:hAnsi="Arial" w:asciiTheme="minorHAnsi" w:cstheme="minorHAnsi" w:hAnsiTheme="minorHAnsi"/>
          <w:color w:val="333333"/>
        </w:rPr>
        <w:t xml:space="preserve"> Передача планируется как бы «с согласия пациента», но острая ситуация ракового заболевания делает больных и их родственников крайне уязвимыми и склонными верить любым обещаниям излечить.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Отдельный риск представляет </w:t>
      </w:r>
      <w:r>
        <w:rPr>
          <w:rFonts w:cs="Arial" w:ascii="Arial" w:hAnsi="Arial" w:asciiTheme="minorHAnsi" w:cstheme="minorHAnsi" w:hAnsiTheme="minorHAnsi"/>
          <w:b/>
          <w:color w:val="333333"/>
        </w:rPr>
        <w:t>отсутствие ограничений по внесению медицинских данных в Регистр для несовершеннолетних, военнослужащих, сотрудников спецслужб, сотрудников госорганов, работников военных заводов, депутатов, участников СВО и их семей</w:t>
      </w:r>
      <w:r>
        <w:rPr>
          <w:rFonts w:cs="Arial" w:ascii="Arial" w:hAnsi="Arial" w:asciiTheme="minorHAnsi" w:cstheme="minorHAnsi" w:hAnsiTheme="minorHAnsi"/>
          <w:color w:val="333333"/>
        </w:rPr>
        <w:t xml:space="preserve">, хотя все эти категории особенно уязвимы в период ведения нашей страной военных действий. </w:t>
      </w:r>
    </w:p>
    <w:p>
      <w:pPr>
        <w:pStyle w:val="Contentcommonblockblock3u"/>
        <w:shd w:val="clear" w:color="auto" w:fill="FFFFFF"/>
        <w:spacing w:lineRule="auto" w:line="276" w:beforeAutospacing="0" w:before="90" w:afterAutospacing="0" w:after="300"/>
        <w:rPr>
          <w:rFonts w:ascii="Arial" w:hAnsi="Arial" w:cs="Arial" w:asciiTheme="minorHAnsi" w:cstheme="minorHAnsi" w:hAnsiTheme="minorHAnsi"/>
          <w:b/>
          <w:b/>
          <w:color w:val="333333"/>
          <w:sz w:val="28"/>
          <w:szCs w:val="28"/>
        </w:rPr>
      </w:pPr>
      <w:r>
        <w:rPr>
          <w:rFonts w:cs="Arial" w:ascii="Arial" w:hAnsi="Arial" w:asciiTheme="minorHAnsi" w:cstheme="minorHAnsi" w:hAnsiTheme="minorHAnsi"/>
          <w:b/>
          <w:color w:val="333333"/>
          <w:sz w:val="28"/>
          <w:szCs w:val="28"/>
        </w:rPr>
        <w:t>7. Снижение рождаемости, рост числа секретных беременностей, дискредитация</w:t>
      </w:r>
      <w:r>
        <w:rPr>
          <w:rFonts w:cs="Arial" w:ascii="Arial" w:hAnsi="Arial" w:asciiTheme="minorHAnsi" w:cstheme="minorHAnsi" w:hAnsiTheme="minorHAnsi"/>
          <w:color w:val="333333"/>
          <w:sz w:val="28"/>
          <w:szCs w:val="28"/>
        </w:rPr>
        <w:t xml:space="preserve"> </w:t>
      </w:r>
      <w:r>
        <w:rPr>
          <w:rFonts w:cs="Arial" w:ascii="Arial" w:hAnsi="Arial" w:asciiTheme="minorHAnsi" w:cstheme="minorHAnsi" w:hAnsiTheme="minorHAnsi"/>
          <w:b/>
          <w:color w:val="333333"/>
          <w:sz w:val="28"/>
          <w:szCs w:val="28"/>
        </w:rPr>
        <w:t>семейных ценностей. Путь к демографической катастрофе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Среди категорий, дающих основание для внесения данных человека в Регистр, в отдельную категорию «заболеваний» выделена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беременность</w:t>
      </w:r>
      <w:r>
        <w:rPr>
          <w:rFonts w:cs="Arial" w:ascii="Arial" w:hAnsi="Arial" w:asciiTheme="minorHAnsi" w:cstheme="minorHAnsi" w:hAnsiTheme="minorHAnsi"/>
          <w:color w:val="333333"/>
        </w:rPr>
        <w:t>. Это создаёт особый вид рисков.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Не секрет, что женщина в момент беременности – мнительна, у неё повышенное чувство тревожности, её пугают любые даже гипотетические угрозы. 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Часть граждан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предпочтут рожать дома</w:t>
      </w:r>
      <w:r>
        <w:rPr>
          <w:rFonts w:cs="Arial" w:ascii="Arial" w:hAnsi="Arial" w:asciiTheme="minorHAnsi" w:cstheme="minorHAnsi" w:hAnsiTheme="minorHAnsi"/>
          <w:color w:val="333333"/>
        </w:rPr>
        <w:t xml:space="preserve">. Даже начали </w:t>
      </w:r>
      <w:r>
        <w:rPr>
          <w:rFonts w:cs="Arial" w:ascii="Arial" w:hAnsi="Arial" w:asciiTheme="minorHAnsi" w:cstheme="minorHAnsi" w:hAnsiTheme="minorHAnsi"/>
          <w:b/>
          <w:bCs/>
          <w:color w:val="333333"/>
        </w:rPr>
        <w:t>давать советы, как скрыться от врачей</w:t>
      </w:r>
      <w:r>
        <w:rPr>
          <w:rFonts w:cs="Arial" w:ascii="Arial" w:hAnsi="Arial" w:asciiTheme="minorHAnsi" w:cstheme="minorHAnsi" w:hAnsiTheme="minorHAnsi"/>
          <w:color w:val="333333"/>
        </w:rPr>
        <w:t xml:space="preserve">.  Если подобная практика распространится в обществе, она резко повысит число неблагоприятных исходов при беременности. 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color w:val="333333"/>
        </w:rPr>
      </w:pPr>
      <w:r>
        <w:rPr>
          <w:rFonts w:cs="Arial" w:ascii="Arial" w:hAnsi="Arial" w:asciiTheme="minorHAnsi" w:cstheme="minorHAnsi" w:hAnsiTheme="minorHAnsi"/>
          <w:color w:val="333333"/>
        </w:rPr>
        <w:t xml:space="preserve">Не исключено, что </w:t>
      </w:r>
      <w:r>
        <w:rPr>
          <w:rFonts w:cs="Arial" w:ascii="Arial" w:hAnsi="Arial" w:asciiTheme="minorHAnsi" w:cstheme="minorHAnsi" w:hAnsiTheme="minorHAnsi"/>
          <w:b/>
          <w:color w:val="333333"/>
        </w:rPr>
        <w:t>сомневающиеся женщины будут просто отказываться от рождения детей совсем</w:t>
      </w:r>
      <w:r>
        <w:rPr>
          <w:rFonts w:cs="Arial" w:ascii="Arial" w:hAnsi="Arial" w:asciiTheme="minorHAnsi" w:cstheme="minorHAnsi" w:hAnsiTheme="minorHAnsi"/>
          <w:color w:val="333333"/>
        </w:rPr>
        <w:t>. Коэффициент рождаемости в нашей стране бьёт антирекорды – в 2024 было 1,42 ребёнка на женщину при необходимых для воспроизводства 2,1</w:t>
      </w:r>
      <w:r>
        <w:rPr>
          <w:rStyle w:val="Style6"/>
          <w:vertAlign w:val="superscript"/>
        </w:rPr>
        <w:footnoteReference w:id="4"/>
      </w:r>
      <w:r>
        <w:rPr>
          <w:rFonts w:cs="Arial" w:ascii="Arial" w:hAnsi="Arial" w:asciiTheme="minorHAnsi" w:cstheme="minorHAnsi" w:hAnsiTheme="minorHAnsi"/>
          <w:color w:val="333333"/>
        </w:rPr>
        <w:t>.  Введение единого Регистра беременных и внесение туда гражданок без их разрешения и согласия – это прямой путь к дальнейшему снижению рождаемости и, как следствие, демографической катастрофе.</w:t>
      </w:r>
    </w:p>
    <w:p>
      <w:pPr>
        <w:pStyle w:val="NormalWeb"/>
        <w:shd w:val="clear" w:color="auto" w:fill="FFFFFF"/>
        <w:spacing w:lineRule="atLeast" w:line="270" w:beforeAutospacing="0" w:before="0" w:afterAutospacing="0" w:after="255"/>
        <w:rPr>
          <w:rFonts w:ascii="Arial" w:hAnsi="Arial" w:cs="Arial" w:asciiTheme="minorHAnsi" w:cstheme="minorHAnsi" w:hAnsiTheme="minorHAnsi"/>
          <w:bCs/>
          <w:color w:val="333333"/>
        </w:rPr>
      </w:pPr>
      <w:r>
        <w:rPr>
          <w:rFonts w:cs="Arial" w:ascii="Arial" w:hAnsi="Arial" w:asciiTheme="minorHAnsi" w:cstheme="minorHAnsi" w:hAnsiTheme="minorHAnsi"/>
          <w:bCs/>
          <w:color w:val="333333"/>
        </w:rPr>
        <w:t xml:space="preserve">Регистр, принудительно собирая данные о беременностях, по факту отменит тайну усыновления, сделает открытой информацию об абортах или неудачных беременностях, которую можно будет использовать против людей. </w:t>
      </w:r>
    </w:p>
    <w:p>
      <w:pPr>
        <w:pStyle w:val="Normal"/>
        <w:shd w:val="clear" w:color="auto" w:fill="FFFFFF"/>
        <w:rPr>
          <w:rFonts w:eastAsia="Times New Roman" w:cs="Arial" w:cstheme="minorHAnsi"/>
          <w:color w:val="34343C"/>
          <w:sz w:val="24"/>
          <w:szCs w:val="24"/>
          <w:lang w:eastAsia="ru-RU"/>
        </w:rPr>
      </w:pPr>
      <w:r>
        <w:rPr>
          <w:rFonts w:cs="Arial" w:cstheme="minorHAnsi"/>
          <w:bCs/>
          <w:color w:val="333333"/>
          <w:sz w:val="24"/>
          <w:szCs w:val="24"/>
        </w:rPr>
        <w:t>Ну, и наконец, жёсткий учёт беременных россиянок – противоречит семейным ценностям, Указу Президента № 809 от 9.11.22.  «Крепкая семья, высокие нравственные идеалы, человеческое достоинство» – как с этим соотносятся методики учёта беременных, пригодные скорее для учёта поголовья скота?</w:t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19"/>
        <w:spacing w:before="0" w:after="40"/>
        <w:rPr/>
      </w:pPr>
      <w:r>
        <w:rPr>
          <w:rStyle w:val="Style8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>
          <w:rFonts w:cs="Arial" w:cstheme="minorHAnsi"/>
          <w:color w:val="333333"/>
          <w:sz w:val="22"/>
          <w:szCs w:val="24"/>
        </w:rPr>
        <w:t>Раздел «Состав информации и обобщенных сведений о пациентах, размещаемых в федеральном регистре лиц с отдельными заболеваниями» ПП№822 от 31.05.25.</w:t>
      </w:r>
    </w:p>
  </w:footnote>
  <w:footnote w:id="3">
    <w:p>
      <w:pPr>
        <w:pStyle w:val="Style19"/>
        <w:spacing w:before="0" w:after="40"/>
        <w:rPr/>
      </w:pPr>
      <w:r>
        <w:rPr>
          <w:rStyle w:val="Style8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/>
        <w:t xml:space="preserve">Исследование ЭАЦ ИнфоВотч </w:t>
      </w:r>
      <w:hyperlink r:id="rId1" w:tgtFrame="https://www.infowatch.ru/analytics/analitika/utechki-informatsii-v-mire-i-otdelnykh-stranakh-za-god">
        <w:r>
          <w:rPr>
            <w:rStyle w:val="Style5"/>
          </w:rPr>
          <w:t>https://www.infowatch.ru/analytics/analitika/utechki-informatsii-v-mire-i-otdelnykh-stranakh-za-god</w:t>
        </w:r>
      </w:hyperlink>
      <w:r>
        <w:rPr/>
        <w:t xml:space="preserve"> </w:t>
      </w:r>
    </w:p>
  </w:footnote>
  <w:footnote w:id="4">
    <w:p>
      <w:pPr>
        <w:pStyle w:val="Style19"/>
        <w:shd w:val="clear" w:color="auto" w:fill="FFFFFF" w:themeFill="background1"/>
        <w:spacing w:before="0" w:after="40"/>
        <w:rPr/>
      </w:pPr>
      <w:r>
        <w:rPr>
          <w:rStyle w:val="Style8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>
          <w:rFonts w:cs="Arial" w:cstheme="minorHAnsi"/>
        </w:rPr>
        <w:t xml:space="preserve">21.11.2025 министр </w:t>
      </w:r>
      <w:r>
        <w:rPr>
          <w:rFonts w:cs="Arial" w:cstheme="minorHAnsi"/>
          <w:color w:val="333333"/>
        </w:rPr>
        <w:t xml:space="preserve">труда и социальной защиты РФ Антон Котяков заявил, что </w:t>
      </w:r>
      <w:r>
        <w:rPr>
          <w:rFonts w:cs="Arial" w:cstheme="minorHAnsi"/>
        </w:rPr>
        <w:t>«</w:t>
      </w:r>
      <w:r>
        <w:rPr>
          <w:rFonts w:cs="Arial" w:cstheme="minorHAnsi"/>
          <w:color w:val="333333"/>
        </w:rPr>
        <w:t xml:space="preserve">Суммарный коэффициент рождаемости в России сегодня составляет </w:t>
      </w:r>
      <w:r>
        <w:rPr>
          <w:rFonts w:cs="Arial" w:cstheme="minorHAnsi"/>
          <w:bCs/>
          <w:color w:val="333333"/>
        </w:rPr>
        <w:t>1,384»</w:t>
      </w:r>
      <w:r>
        <w:rPr>
          <w:rFonts w:cs="Arial" w:cstheme="minorHAnsi"/>
          <w:color w:val="333333"/>
        </w:rPr>
        <w:t xml:space="preserve">. </w:t>
      </w:r>
      <w:r>
        <w:rPr>
          <w:rFonts w:cs="Arial" w:cstheme="minorHAnsi"/>
          <w:color w:val="333333"/>
          <w:shd w:fill="F7F8F9" w:val="clear"/>
        </w:rPr>
        <w:t>(</w:t>
      </w:r>
      <w:hyperlink r:id="rId2" w:tgtFrame="https://www.vesti.ru/article/4791661">
        <w:r>
          <w:rPr>
            <w:rStyle w:val="Style5"/>
            <w:rFonts w:cs="Arial" w:cstheme="minorHAnsi"/>
            <w:highlight w:val="white"/>
          </w:rPr>
          <w:t>https://www.vesti.ru/article/4791661</w:t>
        </w:r>
      </w:hyperlink>
      <w:r>
        <w:rPr>
          <w:rFonts w:cs="Arial" w:cstheme="minorHAnsi"/>
          <w:color w:val="333333"/>
          <w:shd w:fill="F7F8F9" w:val="clear"/>
        </w:rPr>
        <w:t xml:space="preserve"> 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708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710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712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71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716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718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72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722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724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707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709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711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71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71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71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71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72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72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725"/>
    <w:uiPriority w:val="10"/>
    <w:qFormat/>
    <w:rPr>
      <w:sz w:val="48"/>
      <w:szCs w:val="48"/>
    </w:rPr>
  </w:style>
  <w:style w:type="character" w:styleId="SubtitleChar">
    <w:name w:val="Subtitle Char"/>
    <w:link w:val="727"/>
    <w:uiPriority w:val="11"/>
    <w:qFormat/>
    <w:rPr>
      <w:sz w:val="24"/>
      <w:szCs w:val="24"/>
    </w:rPr>
  </w:style>
  <w:style w:type="character" w:styleId="QuoteChar">
    <w:name w:val="Quote Char"/>
    <w:link w:val="729"/>
    <w:uiPriority w:val="29"/>
    <w:qFormat/>
    <w:rPr>
      <w:i/>
    </w:rPr>
  </w:style>
  <w:style w:type="character" w:styleId="IntenseQuoteChar">
    <w:name w:val="Intense Quote Char"/>
    <w:link w:val="731"/>
    <w:uiPriority w:val="30"/>
    <w:qFormat/>
    <w:rPr>
      <w:i/>
    </w:rPr>
  </w:style>
  <w:style w:type="character" w:styleId="HeaderChar">
    <w:name w:val="Header Char"/>
    <w:link w:val="733"/>
    <w:uiPriority w:val="99"/>
    <w:qFormat/>
    <w:rPr/>
  </w:style>
  <w:style w:type="character" w:styleId="FooterChar">
    <w:name w:val="Footer Char"/>
    <w:link w:val="735"/>
    <w:uiPriority w:val="99"/>
    <w:qFormat/>
    <w:rPr/>
  </w:style>
  <w:style w:type="character" w:styleId="CaptionChar">
    <w:name w:val="Caption Char"/>
    <w:link w:val="737"/>
    <w:uiPriority w:val="35"/>
    <w:qFormat/>
    <w:rPr>
      <w:b/>
      <w:bCs/>
      <w:color w:val="4F81BD" w:themeColor="accent1"/>
      <w:sz w:val="18"/>
      <w:szCs w:val="18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66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6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" w:cs="Arial"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Wingdings" w:cs="Wingdings"/>
    </w:rPr>
  </w:style>
  <w:style w:type="character" w:styleId="ListLabel4">
    <w:name w:val="ListLabel 4"/>
    <w:qFormat/>
    <w:rPr>
      <w:rFonts w:eastAsia="Symbol" w:cs="Symbol"/>
    </w:rPr>
  </w:style>
  <w:style w:type="character" w:styleId="ListLabel5">
    <w:name w:val="ListLabel 5"/>
    <w:qFormat/>
    <w:rPr>
      <w:rFonts w:eastAsia="Courier New" w:cs="Courier New"/>
    </w:rPr>
  </w:style>
  <w:style w:type="character" w:styleId="ListLabel6">
    <w:name w:val="ListLabel 6"/>
    <w:qFormat/>
    <w:rPr>
      <w:rFonts w:eastAsia="Wingdings" w:cs="Wingdings"/>
    </w:rPr>
  </w:style>
  <w:style w:type="character" w:styleId="ListLabel7">
    <w:name w:val="ListLabel 7"/>
    <w:qFormat/>
    <w:rPr>
      <w:rFonts w:eastAsia="Symbol" w:cs="Symbol"/>
    </w:rPr>
  </w:style>
  <w:style w:type="character" w:styleId="ListLabel8">
    <w:name w:val="ListLabel 8"/>
    <w:qFormat/>
    <w:rPr>
      <w:rFonts w:eastAsia="Courier New" w:cs="Courier New"/>
    </w:rPr>
  </w:style>
  <w:style w:type="character" w:styleId="ListLabel9">
    <w:name w:val="ListLabel 9"/>
    <w:qFormat/>
    <w:rPr>
      <w:rFonts w:eastAsia="Wingdings" w:cs="Wingdings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Style8">
    <w:name w:val="Символ сноски"/>
    <w:qFormat/>
    <w:rPr/>
  </w:style>
  <w:style w:type="character" w:styleId="Style9">
    <w:name w:val="Символ концевой сноски"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Sans" w:hAnsi="PT Sans" w:cs="Noto Sans Devanagari"/>
    </w:rPr>
  </w:style>
  <w:style w:type="paragraph" w:styleId="Style13">
    <w:name w:val="Caption"/>
    <w:basedOn w:val="Normal"/>
    <w:link w:val="738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15">
    <w:name w:val="Title"/>
    <w:basedOn w:val="Normal"/>
    <w:link w:val="72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link w:val="728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730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73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7">
    <w:name w:val="Header"/>
    <w:basedOn w:val="Normal"/>
    <w:link w:val="734"/>
    <w:uiPriority w:val="99"/>
    <w:unhideWhenUsed/>
    <w:pPr>
      <w:tabs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736"/>
    <w:uiPriority w:val="99"/>
    <w:unhideWhenUsed/>
    <w:pPr>
      <w:tabs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link w:val="86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87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rmalWeb" w:customStyle="1">
    <w:name w:val="Normal (Web)"/>
    <w:uiPriority w:val="99"/>
    <w:unhideWhenUsed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Contentcommonblockblock3u" w:customStyle="1">
    <w:name w:val="content--common-block__block-3u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739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42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43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44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5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7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8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9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0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1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2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3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69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70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71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72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5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76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77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78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79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80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81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82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83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84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85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86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87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88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9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5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9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0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1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2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3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4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5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6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7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8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9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0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1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2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3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4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5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6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7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8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9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0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1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3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4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5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6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7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38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839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840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841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842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843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844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45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846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847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848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849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850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851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52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853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854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855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856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857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858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9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1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2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3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4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8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ww.infowatch.ru/analytics/analitika/utechki-informatsii-v-mire-i-otdelnykh-stranakh-za-god" TargetMode="External"/><Relationship Id="rId2" Type="http://schemas.openxmlformats.org/officeDocument/2006/relationships/hyperlink" Target="https://www.vesti.ru/article/4791661" TargetMode="Externa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LibreOffice/6.0.5.2$Linux_X86_64 LibreOffice_project/00m0$Build-2</Application>
  <Pages>4</Pages>
  <Words>1223</Words>
  <Characters>8058</Characters>
  <CharactersWithSpaces>9272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2026-02-27T17:21:08Z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