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0937" w14:textId="77777777" w:rsidR="00A37162" w:rsidRDefault="00A37162" w:rsidP="00A37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62">
        <w:rPr>
          <w:rFonts w:ascii="Times New Roman" w:hAnsi="Times New Roman" w:cs="Times New Roman"/>
          <w:sz w:val="28"/>
          <w:szCs w:val="28"/>
        </w:rPr>
        <w:t xml:space="preserve">Предложенный законопроект выстраивает последовательную процедуру движения гражданской инициативы: от подачи до парламентского рассмотрения. Формируется своего рода юридический коридор, в рамках которого волеизъявление гражданина не может быть проигнорировано, а отказ допускается лишь по заранее установленным основаниям. Это принципиально отличает проект от существующих практик. Конструкция документа опирается на идею процессуальной справедливости. </w:t>
      </w:r>
    </w:p>
    <w:p w14:paraId="603B05BD" w14:textId="77777777" w:rsidR="00A37162" w:rsidRDefault="00A37162" w:rsidP="00A37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62">
        <w:rPr>
          <w:rFonts w:ascii="Times New Roman" w:hAnsi="Times New Roman" w:cs="Times New Roman"/>
          <w:sz w:val="28"/>
          <w:szCs w:val="28"/>
        </w:rPr>
        <w:t xml:space="preserve">Каждая стадия, от регистрации до рассмотрения в Государственной Думе сопровождается гарантиями, направленными на исключение произвольных решений. В этом проявляется логика формального конституционализма, где приоритет отдаётся предсказуемости и публичности процедур. Соединяются цифровой и территориальный каналы подачи инициатив. Интернет-платформа «Российская общественная инициатива» дополняется возможностью обращения через органы местного самоуправления. Тем самым учитывается социальная неоднородность и устраняется риск цифрового неравенства. </w:t>
      </w:r>
    </w:p>
    <w:p w14:paraId="722EE2F6" w14:textId="77777777" w:rsidR="00A37162" w:rsidRDefault="00A37162" w:rsidP="00A37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62">
        <w:rPr>
          <w:rFonts w:ascii="Times New Roman" w:hAnsi="Times New Roman" w:cs="Times New Roman"/>
          <w:sz w:val="28"/>
          <w:szCs w:val="28"/>
        </w:rPr>
        <w:t xml:space="preserve">Ключевым элементом становится Комитет Государственной Думы по законодательным инициативам граждан. Его появление означает смещение акцента от административной фильтрации к парламентской экспертизе. Процесс приобретает политическую подотчётность и становится более прозрачным. </w:t>
      </w:r>
    </w:p>
    <w:p w14:paraId="43C038E8" w14:textId="77777777" w:rsidR="00A37162" w:rsidRDefault="00A37162" w:rsidP="00A37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62">
        <w:rPr>
          <w:rFonts w:ascii="Times New Roman" w:hAnsi="Times New Roman" w:cs="Times New Roman"/>
          <w:sz w:val="28"/>
          <w:szCs w:val="28"/>
        </w:rPr>
        <w:t xml:space="preserve">Межфракционный характер комитета снижает зависимость решений от текущей политической конъюнктуры. Проект выстраивает баланс между доступностью участия и ответственностью. Устанавливаются пороги поддержки, вводится экспертная оценка и определяются сроки рассмотрения. Это позволяет избежать перегрузки системы при сохранении реального механизма участия. </w:t>
      </w:r>
    </w:p>
    <w:p w14:paraId="726E99E7" w14:textId="77777777" w:rsidR="00A37162" w:rsidRDefault="00A37162" w:rsidP="00A37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62">
        <w:rPr>
          <w:rFonts w:ascii="Times New Roman" w:hAnsi="Times New Roman" w:cs="Times New Roman"/>
          <w:sz w:val="28"/>
          <w:szCs w:val="28"/>
        </w:rPr>
        <w:t xml:space="preserve">Особое значение придаётся публичности. Заседания комитета предполагаются открытыми, материалы доступными. Тем самым восстанавливается функция парламента как площадки обсуждения, а </w:t>
      </w:r>
      <w:r w:rsidRPr="00A37162">
        <w:rPr>
          <w:rFonts w:ascii="Times New Roman" w:hAnsi="Times New Roman" w:cs="Times New Roman"/>
          <w:sz w:val="28"/>
          <w:szCs w:val="28"/>
        </w:rPr>
        <w:lastRenderedPageBreak/>
        <w:t xml:space="preserve">прозрачность закрепляется как институциональное условие доверия. Инициативы дифференцируются по уровням: федеральному, региональному и муниципальному. Такой подход соответствует федеративной природе государства и позволяет направлять предложения в компетентные органы, превращая процедуру в содержательный диалог. </w:t>
      </w:r>
    </w:p>
    <w:p w14:paraId="30F3BCBC" w14:textId="77777777" w:rsidR="00A37162" w:rsidRDefault="00A37162" w:rsidP="00A37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62">
        <w:rPr>
          <w:rFonts w:ascii="Times New Roman" w:hAnsi="Times New Roman" w:cs="Times New Roman"/>
          <w:sz w:val="28"/>
          <w:szCs w:val="28"/>
        </w:rPr>
        <w:t xml:space="preserve">Законопроект стремится соединить народовластие с принципами правового государства. Гражданская инициатива рассматривается не как альтернатива парламенту, а как встроенный элемент законодательного процесса. Это меняет саму модель участия. Важным нововведением становится обязанность органов власти давать мотивированные ответы. </w:t>
      </w:r>
    </w:p>
    <w:p w14:paraId="33F106EF" w14:textId="77777777" w:rsidR="00A37162" w:rsidRDefault="00A37162" w:rsidP="00A37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62">
        <w:rPr>
          <w:rFonts w:ascii="Times New Roman" w:hAnsi="Times New Roman" w:cs="Times New Roman"/>
          <w:sz w:val="28"/>
          <w:szCs w:val="28"/>
        </w:rPr>
        <w:t xml:space="preserve">Отказ перестаёт быть формальностью и приобретает характер юридически значимого решения, подлежащего проверке. В сравнительном плане проект близок к европейской модели гражданской инициативы, но адаптирован к российской системе с её федеративной спецификой. Он не подменяет представительную демократию, а дополняет её, вовлекая граждан в процесс выработки решений. </w:t>
      </w:r>
    </w:p>
    <w:p w14:paraId="1B970B47" w14:textId="119C4ADF" w:rsidR="007D3B0C" w:rsidRPr="00A37162" w:rsidRDefault="00A37162" w:rsidP="00A37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62">
        <w:rPr>
          <w:rFonts w:ascii="Times New Roman" w:hAnsi="Times New Roman" w:cs="Times New Roman"/>
          <w:sz w:val="28"/>
          <w:szCs w:val="28"/>
        </w:rPr>
        <w:t>Таким образом, речь идёт не только о процедурных изменениях. Законопроект задаёт новую рамку взаимодействия общества и государства, смещая акцент от закрытых административных практик к публичной и формализованной процедуре</w:t>
      </w:r>
    </w:p>
    <w:sectPr w:rsidR="007D3B0C" w:rsidRPr="00A3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62"/>
    <w:rsid w:val="005F04D5"/>
    <w:rsid w:val="007B35CF"/>
    <w:rsid w:val="007D3B0C"/>
    <w:rsid w:val="00A3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BF8E"/>
  <w15:chartTrackingRefBased/>
  <w15:docId w15:val="{E98F321E-2CF6-41C5-A03F-84074C74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71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71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71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71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71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71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71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71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71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71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7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c9014</dc:creator>
  <cp:keywords/>
  <dc:description/>
  <cp:lastModifiedBy>c9014</cp:lastModifiedBy>
  <cp:revision>1</cp:revision>
  <dcterms:created xsi:type="dcterms:W3CDTF">2026-05-21T04:43:00Z</dcterms:created>
  <dcterms:modified xsi:type="dcterms:W3CDTF">2026-05-21T04:44:00Z</dcterms:modified>
</cp:coreProperties>
</file>