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Социально-экономическое обоснование</w:t>
      </w:r>
    </w:p>
    <w:p>
      <w:r>
        <w:t xml:space="preserve">Законопроект направлен на обеспечение правовой стабильности на рынке недвижимости и защиту граждан от потери жилья при законно совершённых сделках. </w:t>
        <w:br/>
        <w:t>Он устраняет правовую неопределённость, возникающую из-за возможности оспаривания зарегистрированных сделок задним числом, и тем самым укрепляет доверие к институтам нотариата и государственной регистрации прав.</w:t>
        <w:br/>
        <w:br/>
        <w:t>Социальный эффект:</w:t>
        <w:br/>
        <w:t>- Гарантируется сохранность жилья для добросовестных покупателей, включая семьи с детьми и ипотечных заёмщиков.</w:t>
        <w:br/>
        <w:t>- Повышается доверие к государству как гаранту достоверности ЕГРН.</w:t>
        <w:br/>
        <w:t>- Снижается социальная напряжённость, вызванная громкими случаями утраты собственности.</w:t>
        <w:br/>
        <w:t>- Формируется культура правовой безопасности при операциях с недвижимостью.</w:t>
        <w:br/>
        <w:br/>
        <w:t>Экономический эффект:</w:t>
        <w:br/>
        <w:t>- Снижение судебных издержек граждан и государства за счёт уменьшения количества споров по ст. 302 ГК РФ.</w:t>
        <w:br/>
        <w:t>- Повышение инвестиционной привлекательности вторичного рынка жилья.</w:t>
        <w:br/>
        <w:t>- Увеличение объёма официальных сделок и, как следствие, поступлений налогов от регистрации перехода прав.</w:t>
        <w:br/>
        <w:t>- Создание компенсационного фонда не потребует бюджетных расходов, поскольку он формируется за счёт незначительных отчислений (до 0,1 %) от каждой сделки и штрафов за нарушения нотариальных процедур.</w:t>
        <w:br/>
        <w:br/>
        <w:t>Долгосрочные последствия:</w:t>
        <w:br/>
        <w:t>Реализация закона обеспечит устойчивость прав собственности, снизит риски рейдерства и мошенничества с жильём, укрепит доверие к правовой системе и создаст предсказуемую среду для гражданского оборота недвижимости.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