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26" w:rsidRPr="006F409D" w:rsidRDefault="008A2D26" w:rsidP="008A2D26">
      <w:pPr>
        <w:ind w:left="708" w:right="567"/>
        <w:rPr>
          <w:rFonts w:ascii="Times New Roman" w:hAnsi="Times New Roman" w:cs="Times New Roman"/>
          <w:sz w:val="28"/>
          <w:szCs w:val="28"/>
        </w:rPr>
      </w:pPr>
      <w:r w:rsidRPr="006F409D">
        <w:rPr>
          <w:rFonts w:ascii="Times New Roman" w:hAnsi="Times New Roman" w:cs="Times New Roman"/>
          <w:sz w:val="28"/>
          <w:szCs w:val="28"/>
        </w:rPr>
        <w:t xml:space="preserve">Основные тезисы НДР: </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Деление всех дорог в стране на категории:</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1 категория – федеральные трассы, дороги, пролегающие на территории 3 и более субъектах Российской Федерации, дороги, подкрепленные международными договорами (международные участки дорог, пролегающих на территории России);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2 категория – дороги межрегионального значения, дороги, связывающие города, но пролегающие на территории не более 2 субъектов Российской Федерации, объездные дороги крупных городов;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3 категория – улицы и проспекты в городах, дороги местного значения;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4 категория – переулки, </w:t>
      </w:r>
      <w:r w:rsidR="00BC2FC4">
        <w:rPr>
          <w:rFonts w:ascii="Times New Roman" w:hAnsi="Times New Roman" w:cs="Times New Roman"/>
          <w:sz w:val="28"/>
          <w:szCs w:val="28"/>
        </w:rPr>
        <w:t xml:space="preserve">дороги во дворах, </w:t>
      </w:r>
      <w:r w:rsidRPr="006F409D">
        <w:rPr>
          <w:rFonts w:ascii="Times New Roman" w:hAnsi="Times New Roman" w:cs="Times New Roman"/>
          <w:sz w:val="28"/>
          <w:szCs w:val="28"/>
        </w:rPr>
        <w:t>пешеходные дороги и велодорожки, частные дороги.</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 xml:space="preserve">Лицензирование дорожных компаний. Осуществляет Министерство транспорта Российской Федерации, любая компания, подавшая заявку на получение лицензии, может получить только лицензию на проведение работ на дорогах 4 категории. «Переход» на лицензию следующей категории может быть осуществлён лишь при успешном прохождении компанией гарантийного срока дороги предыдущей категории. При нарушении гарантийного срока лицензия у компании изымается без права восстановления, учредительный совет данной компании больше не имеет права быть занятыми в дорожной сфере, а имущество (техника) компании при банкротстве изымается в пользу государства для дальнейшей продажи для выручки денег на заключение тендера с новой компанией. Лицензирование фирм Министерством транспорта осуществляется по следующей приоритетной шкале: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1 категория – право выдачи лицензии имеет только министр транспорта РФ (по предложению и с одобрения специальной экспертной группы);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2 категория – право выдачи лицензии имеет только Министерство транспорта РФ (специальное уполномоченное лицо), также по предложению и с одобрения специальной экспертной группы;</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3 категория – министр транспорта субъекта Российской Федерации (плюс экспертная группа);</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lastRenderedPageBreak/>
        <w:t xml:space="preserve">4 категория – Министерство транспорта субъекта РФ (специальное уполномоченное лицо плюс специальная экспертная группа). </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 xml:space="preserve">Гарантийный срок для каждой категории дорог: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Для дорог 1 категории – 10 лет;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Для дорог 2 категории – 7 лет;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Для дорог 3 категории – 5 лет;</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Для дорог 4 категории – 3 года; </w:t>
      </w:r>
    </w:p>
    <w:p w:rsidR="008A2D26" w:rsidRPr="006F409D" w:rsidRDefault="008A2D26" w:rsidP="008A2D26">
      <w:pPr>
        <w:pStyle w:val="a3"/>
        <w:ind w:left="1068" w:right="567"/>
        <w:rPr>
          <w:rFonts w:ascii="Times New Roman" w:hAnsi="Times New Roman" w:cs="Times New Roman"/>
          <w:sz w:val="28"/>
          <w:szCs w:val="28"/>
        </w:rPr>
      </w:pPr>
      <w:r w:rsidRPr="006F409D">
        <w:rPr>
          <w:rFonts w:ascii="Times New Roman" w:hAnsi="Times New Roman" w:cs="Times New Roman"/>
          <w:sz w:val="28"/>
          <w:szCs w:val="28"/>
        </w:rPr>
        <w:t xml:space="preserve">Гарантийный срок распространяется только при заключении контракта с государством/муниципалитетом, на частные дороги государственные требования не распространяются. В течение гарантийного срока компания обязана за свой счет по предписанию управомоченного ведомства проводить ремонт дороги, на которой были обнаружены недостатки. </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Запрещены подряды. Правом на проведение работ обладает только компания, получившая тендер.</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 xml:space="preserve">Надзор. При проведении работ компанией должен быть приглашен представитель ГИБДД и человек, имеющий научную степень в сфере дорожного строительства (для дорог 4 категории необязательно присутствие научного деятеля), также на работах имеет право присутствовать сотрудник другой дорожной компании. После проведения работ тремя наблюдателями должен был составлен протокол, в котором должно быть указано, что замечаний замечено не было, протокол составляется коллективно. Надзор во время прохождения компанией гарантийного срока осуществляют: Министерство транспорта (в зависимости от категории), Общественная палата РФ, законодательное собрание (в зависимости от категории: окружная/областная дума для 1 и 2 категорий, государственная дума для 3 и 4 категорий). </w:t>
      </w:r>
      <w:proofErr w:type="gramStart"/>
      <w:r w:rsidRPr="006F409D">
        <w:rPr>
          <w:rFonts w:ascii="Times New Roman" w:hAnsi="Times New Roman" w:cs="Times New Roman"/>
          <w:sz w:val="28"/>
          <w:szCs w:val="28"/>
        </w:rPr>
        <w:t>Каждый гражданин Российской Федерации имеет право подачи жалобы конкретной, общефедеральной формы  (должна быть размещена на официальных сайтах каждого из надзорных ведомств), после принятия жалобы надзорный орган обязан лично проверить участок дороги, который не соответствует стандартам качества и безопасности, в случае, если недостатки надзорным органом были замечены, он имеет право пригласить специальную экспертную группу (в зависимости от категории) для проведения проверки</w:t>
      </w:r>
      <w:proofErr w:type="gramEnd"/>
      <w:r w:rsidRPr="006F409D">
        <w:rPr>
          <w:rFonts w:ascii="Times New Roman" w:hAnsi="Times New Roman" w:cs="Times New Roman"/>
          <w:sz w:val="28"/>
          <w:szCs w:val="28"/>
        </w:rPr>
        <w:t xml:space="preserve"> данного участка дороги. Экспертная </w:t>
      </w:r>
      <w:r w:rsidRPr="006F409D">
        <w:rPr>
          <w:rFonts w:ascii="Times New Roman" w:hAnsi="Times New Roman" w:cs="Times New Roman"/>
          <w:sz w:val="28"/>
          <w:szCs w:val="28"/>
        </w:rPr>
        <w:lastRenderedPageBreak/>
        <w:t xml:space="preserve">группа обязана составить экспертное заключение, в котором сказано, требуется ли проведение ремонта на данном участке дороги. Гражданину (гражданам) подавшим жалобу должна быть отправлена копия этого заключения. В случае если ремонт требуется, надзорный орган вправе требовать выписки предписания Прокуратурой РФ компании, выполнявшей ремонт, о необходимости проведения работ в конкретный срок. </w:t>
      </w:r>
    </w:p>
    <w:p w:rsidR="008A2D26" w:rsidRPr="006F409D" w:rsidRDefault="008A2D26" w:rsidP="008A2D26">
      <w:pPr>
        <w:pStyle w:val="a3"/>
        <w:numPr>
          <w:ilvl w:val="0"/>
          <w:numId w:val="1"/>
        </w:numPr>
        <w:ind w:right="567"/>
        <w:rPr>
          <w:rFonts w:ascii="Times New Roman" w:hAnsi="Times New Roman" w:cs="Times New Roman"/>
          <w:sz w:val="28"/>
          <w:szCs w:val="28"/>
        </w:rPr>
      </w:pPr>
      <w:proofErr w:type="gramStart"/>
      <w:r w:rsidRPr="006F409D">
        <w:rPr>
          <w:rFonts w:ascii="Times New Roman" w:hAnsi="Times New Roman" w:cs="Times New Roman"/>
          <w:sz w:val="28"/>
          <w:szCs w:val="28"/>
        </w:rPr>
        <w:t>Все пешеходные переходы должны быть обозначены двумя полосами: белой и желтой, которые должны чередоваться (для создания большего приоритета).</w:t>
      </w:r>
      <w:proofErr w:type="gramEnd"/>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 xml:space="preserve">В городах с населением свыше 300 000 человек обязательно строительство велодорожек. В градостроительный кодекс предусматривается внесение изменений для строительства новых кварталов в городе, а для уже построенных городов обязательным является обозначение велодорожек специальной разметкой, установкой пластиковых разделителей пешеходной дороги и велодорожек. Расчет требуемой общей протяженности велодорожек вычисляется по принципу: на одного жителя 10 см велодорожки. При заключении тендера на строительство на пешеходной дороге должно учитываться возведение велодорожки, если общая протяженность велодорожек не удовлетворяет </w:t>
      </w:r>
      <w:proofErr w:type="gramStart"/>
      <w:r w:rsidRPr="006F409D">
        <w:rPr>
          <w:rFonts w:ascii="Times New Roman" w:hAnsi="Times New Roman" w:cs="Times New Roman"/>
          <w:sz w:val="28"/>
          <w:szCs w:val="28"/>
        </w:rPr>
        <w:t>необходимому</w:t>
      </w:r>
      <w:proofErr w:type="gramEnd"/>
      <w:r w:rsidRPr="006F409D">
        <w:rPr>
          <w:rFonts w:ascii="Times New Roman" w:hAnsi="Times New Roman" w:cs="Times New Roman"/>
          <w:sz w:val="28"/>
          <w:szCs w:val="28"/>
        </w:rPr>
        <w:t>, заключается отдельный тендер на возведение велодорожки. Надзорные органы вправе требовать от государства проведения велодорожек (также по просьбам граждан).</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Обязательная установка урн.  При ремонте/строительстве пешеходной дороги предусматривается установка урн на данном участке дороги в расчете 3 урны на километр каждой стороны дороги. При недостаточном количестве существующих урн государство обязано найти подрядчиков и выделить деньги на их установку.  В тендерах на ремонт/строительство предусматривается установка урн. Надзорные органы вправе требовать от государства установку урн (также по просьбам граждан).</w:t>
      </w:r>
    </w:p>
    <w:p w:rsidR="008A2D26" w:rsidRPr="006F409D"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 xml:space="preserve">Изменение существующих ГОСТ, для каждого субъекта должен быть установлен свой ГОСТ, с учтением климатических условий субъекта. </w:t>
      </w:r>
    </w:p>
    <w:p w:rsidR="00A1710F" w:rsidRDefault="008A2D26" w:rsidP="008A2D26">
      <w:pPr>
        <w:pStyle w:val="a3"/>
        <w:numPr>
          <w:ilvl w:val="0"/>
          <w:numId w:val="1"/>
        </w:numPr>
        <w:ind w:right="567"/>
        <w:rPr>
          <w:rFonts w:ascii="Times New Roman" w:hAnsi="Times New Roman" w:cs="Times New Roman"/>
          <w:sz w:val="28"/>
          <w:szCs w:val="28"/>
        </w:rPr>
      </w:pPr>
      <w:r w:rsidRPr="006F409D">
        <w:rPr>
          <w:rFonts w:ascii="Times New Roman" w:hAnsi="Times New Roman" w:cs="Times New Roman"/>
          <w:sz w:val="28"/>
          <w:szCs w:val="28"/>
        </w:rPr>
        <w:t xml:space="preserve"> Запрещена укладка асфальта или мощение плит во всей федерации при температуре ниже 5 градусов по Цельсию, или </w:t>
      </w:r>
      <w:r w:rsidRPr="006F409D">
        <w:rPr>
          <w:rFonts w:ascii="Times New Roman" w:hAnsi="Times New Roman" w:cs="Times New Roman"/>
          <w:sz w:val="28"/>
          <w:szCs w:val="28"/>
        </w:rPr>
        <w:lastRenderedPageBreak/>
        <w:t xml:space="preserve">при осадках. При фиксации такого нарушения лицензия у компании изымается. </w:t>
      </w:r>
    </w:p>
    <w:p w:rsidR="00BC2FC4" w:rsidRDefault="00BC2FC4" w:rsidP="008A2D26">
      <w:pPr>
        <w:pStyle w:val="a3"/>
        <w:numPr>
          <w:ilvl w:val="0"/>
          <w:numId w:val="1"/>
        </w:numPr>
        <w:ind w:right="567"/>
        <w:rPr>
          <w:rFonts w:ascii="Times New Roman" w:hAnsi="Times New Roman" w:cs="Times New Roman"/>
          <w:sz w:val="28"/>
          <w:szCs w:val="28"/>
        </w:rPr>
      </w:pPr>
      <w:r>
        <w:rPr>
          <w:rFonts w:ascii="Times New Roman" w:hAnsi="Times New Roman" w:cs="Times New Roman"/>
          <w:sz w:val="28"/>
          <w:szCs w:val="28"/>
        </w:rPr>
        <w:t xml:space="preserve"> Каждый субъект Российской Федерации вправе устанавливать свой возможный состав дорожного покрытия. </w:t>
      </w:r>
    </w:p>
    <w:p w:rsidR="00BC2FC4" w:rsidRDefault="00BC2FC4" w:rsidP="008A2D26">
      <w:pPr>
        <w:pStyle w:val="a3"/>
        <w:numPr>
          <w:ilvl w:val="0"/>
          <w:numId w:val="1"/>
        </w:numPr>
        <w:ind w:right="567"/>
        <w:rPr>
          <w:rFonts w:ascii="Times New Roman" w:hAnsi="Times New Roman" w:cs="Times New Roman"/>
          <w:sz w:val="28"/>
          <w:szCs w:val="28"/>
        </w:rPr>
      </w:pPr>
      <w:r>
        <w:rPr>
          <w:rFonts w:ascii="Times New Roman" w:hAnsi="Times New Roman" w:cs="Times New Roman"/>
          <w:sz w:val="28"/>
          <w:szCs w:val="28"/>
        </w:rPr>
        <w:t xml:space="preserve"> Обязательным является установка нового единого общефедерального стандарта качества и безопасности дороги.</w:t>
      </w:r>
    </w:p>
    <w:p w:rsidR="00BC2FC4" w:rsidRPr="00BC2FC4" w:rsidRDefault="008A2D26" w:rsidP="00BC2FC4">
      <w:pPr>
        <w:pStyle w:val="a3"/>
        <w:numPr>
          <w:ilvl w:val="0"/>
          <w:numId w:val="1"/>
        </w:numPr>
        <w:ind w:right="567"/>
        <w:rPr>
          <w:rFonts w:ascii="Times New Roman" w:hAnsi="Times New Roman" w:cs="Times New Roman"/>
          <w:sz w:val="28"/>
          <w:szCs w:val="28"/>
        </w:rPr>
      </w:pPr>
      <w:r>
        <w:rPr>
          <w:rFonts w:ascii="Times New Roman" w:hAnsi="Times New Roman" w:cs="Times New Roman"/>
          <w:sz w:val="28"/>
          <w:szCs w:val="28"/>
        </w:rPr>
        <w:t xml:space="preserve"> При пересечении пешеходной дорогой проезжей частью и (или) велодорожкой (в том числе въезды во двор, зоны у светофоров) предусматривается съезд для детских колясок и предметов для активного отдыха. Во всех местах, где не </w:t>
      </w:r>
      <w:r w:rsidRPr="008A2D26">
        <w:rPr>
          <w:rFonts w:ascii="Times New Roman" w:hAnsi="Times New Roman" w:cs="Times New Roman"/>
          <w:sz w:val="28"/>
          <w:szCs w:val="28"/>
        </w:rPr>
        <w:t>установлен данный съезд (</w:t>
      </w:r>
      <w:r>
        <w:rPr>
          <w:rFonts w:ascii="Times New Roman" w:hAnsi="Times New Roman" w:cs="Times New Roman"/>
          <w:sz w:val="28"/>
          <w:szCs w:val="28"/>
        </w:rPr>
        <w:t>вместо него, как правило, стоит по</w:t>
      </w:r>
      <w:r w:rsidRPr="008A2D26">
        <w:rPr>
          <w:rFonts w:ascii="Times New Roman" w:hAnsi="Times New Roman" w:cs="Times New Roman"/>
          <w:sz w:val="28"/>
          <w:szCs w:val="28"/>
        </w:rPr>
        <w:t>ребрик)</w:t>
      </w:r>
      <w:r>
        <w:rPr>
          <w:rFonts w:ascii="Times New Roman" w:hAnsi="Times New Roman" w:cs="Times New Roman"/>
          <w:sz w:val="28"/>
          <w:szCs w:val="28"/>
        </w:rPr>
        <w:t xml:space="preserve"> обязательна установка съезда (плавного продолжения дороги из плитки или асфальта) в срок 1,5 года с начала действия реформы. </w:t>
      </w:r>
    </w:p>
    <w:p w:rsidR="008A2D26" w:rsidRDefault="008A2D26" w:rsidP="008A2D26">
      <w:pPr>
        <w:ind w:right="567"/>
        <w:rPr>
          <w:rFonts w:ascii="Times New Roman" w:hAnsi="Times New Roman" w:cs="Times New Roman"/>
          <w:sz w:val="28"/>
          <w:szCs w:val="28"/>
        </w:rPr>
      </w:pPr>
    </w:p>
    <w:p w:rsidR="008A2D26" w:rsidRPr="008A2D26" w:rsidRDefault="008A2D26" w:rsidP="008A2D26">
      <w:pPr>
        <w:ind w:right="567"/>
        <w:rPr>
          <w:rFonts w:ascii="Times New Roman" w:hAnsi="Times New Roman" w:cs="Times New Roman"/>
          <w:sz w:val="28"/>
          <w:szCs w:val="28"/>
        </w:rPr>
      </w:pPr>
      <w:bookmarkStart w:id="0" w:name="_GoBack"/>
      <w:bookmarkEnd w:id="0"/>
    </w:p>
    <w:sectPr w:rsidR="008A2D26" w:rsidRPr="008A2D26" w:rsidSect="00A17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00094"/>
    <w:multiLevelType w:val="hybridMultilevel"/>
    <w:tmpl w:val="0B6EFCC6"/>
    <w:lvl w:ilvl="0" w:tplc="A1BAFE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26"/>
    <w:rsid w:val="00146B4F"/>
    <w:rsid w:val="008A2D26"/>
    <w:rsid w:val="00A1710F"/>
    <w:rsid w:val="00A51620"/>
    <w:rsid w:val="00BC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 и Бог</dc:creator>
  <cp:lastModifiedBy>k</cp:lastModifiedBy>
  <cp:revision>2</cp:revision>
  <cp:lastPrinted>2016-06-21T09:21:00Z</cp:lastPrinted>
  <dcterms:created xsi:type="dcterms:W3CDTF">2016-07-16T13:56:00Z</dcterms:created>
  <dcterms:modified xsi:type="dcterms:W3CDTF">2016-07-16T13:56:00Z</dcterms:modified>
</cp:coreProperties>
</file>